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7F6EBC6" w14:textId="77777777" w:rsidR="00F46878" w:rsidRPr="00C40026" w:rsidRDefault="00F46878" w:rsidP="005967B6">
      <w:pPr>
        <w:rPr>
          <w:rFonts w:ascii="Verdana" w:hAnsi="Verdana"/>
        </w:rPr>
      </w:pPr>
    </w:p>
    <w:p w14:paraId="26BFC946" w14:textId="77777777" w:rsidR="00F46878" w:rsidRPr="00C40026" w:rsidRDefault="00F46878" w:rsidP="005967B6">
      <w:pPr>
        <w:rPr>
          <w:rFonts w:ascii="Verdana" w:hAnsi="Verdana"/>
        </w:rPr>
      </w:pPr>
    </w:p>
    <w:p w14:paraId="26993AB4" w14:textId="352EECE8" w:rsidR="00B52DA0" w:rsidRPr="00C40026" w:rsidRDefault="00B52DA0" w:rsidP="007A7FB2">
      <w:pPr>
        <w:jc w:val="both"/>
        <w:rPr>
          <w:rFonts w:ascii="Verdana" w:hAnsi="Verdana"/>
          <w:b/>
          <w:sz w:val="20"/>
          <w:szCs w:val="20"/>
        </w:rPr>
      </w:pPr>
      <w:r w:rsidRPr="00C40026">
        <w:rPr>
          <w:rFonts w:ascii="Verdana" w:hAnsi="Verdana"/>
          <w:b/>
          <w:sz w:val="20"/>
        </w:rPr>
        <w:t xml:space="preserve">Demande de prise en charge </w:t>
      </w:r>
      <w:r w:rsidR="00C40026">
        <w:rPr>
          <w:rFonts w:ascii="Verdana" w:hAnsi="Verdana"/>
          <w:b/>
          <w:sz w:val="20"/>
        </w:rPr>
        <w:t xml:space="preserve">de </w:t>
      </w:r>
      <w:r w:rsidRPr="00C40026">
        <w:rPr>
          <w:rFonts w:ascii="Verdana" w:hAnsi="Verdana"/>
          <w:b/>
          <w:sz w:val="20"/>
        </w:rPr>
        <w:t xml:space="preserve">la neurochirurgie fonctionnelle par ultrasons selon l'OPAS du </w:t>
      </w:r>
      <w:r w:rsidR="00D45034">
        <w:rPr>
          <w:rFonts w:ascii="Verdana" w:hAnsi="Verdana"/>
          <w:b/>
          <w:sz w:val="20"/>
        </w:rPr>
        <w:t>29</w:t>
      </w:r>
      <w:r w:rsidRPr="00C40026">
        <w:rPr>
          <w:rFonts w:ascii="Verdana" w:hAnsi="Verdana"/>
          <w:b/>
          <w:sz w:val="20"/>
        </w:rPr>
        <w:t xml:space="preserve"> </w:t>
      </w:r>
      <w:r w:rsidR="00D45034">
        <w:rPr>
          <w:rFonts w:ascii="Verdana" w:hAnsi="Verdana"/>
          <w:b/>
          <w:sz w:val="20"/>
        </w:rPr>
        <w:t>septembre</w:t>
      </w:r>
      <w:r w:rsidRPr="00C40026">
        <w:rPr>
          <w:rFonts w:ascii="Verdana" w:hAnsi="Verdana"/>
          <w:b/>
          <w:sz w:val="20"/>
        </w:rPr>
        <w:t xml:space="preserve"> </w:t>
      </w:r>
      <w:r w:rsidR="00D45034">
        <w:rPr>
          <w:rFonts w:ascii="Verdana" w:hAnsi="Verdana"/>
          <w:b/>
          <w:sz w:val="20"/>
        </w:rPr>
        <w:t>1995 (état du 1.1.2021)</w:t>
      </w:r>
      <w:r w:rsidRPr="00C40026">
        <w:rPr>
          <w:rFonts w:ascii="Verdana" w:hAnsi="Verdana"/>
          <w:b/>
          <w:sz w:val="20"/>
        </w:rPr>
        <w:t xml:space="preserve"> et la recommandation de la CTM du</w:t>
      </w:r>
      <w:r w:rsidR="00D45034">
        <w:rPr>
          <w:rFonts w:ascii="Verdana" w:hAnsi="Verdana"/>
          <w:b/>
          <w:sz w:val="20"/>
        </w:rPr>
        <w:br/>
        <w:t>1</w:t>
      </w:r>
      <w:r w:rsidR="0067290A">
        <w:rPr>
          <w:rFonts w:ascii="Verdana" w:hAnsi="Verdana"/>
          <w:b/>
          <w:sz w:val="20"/>
        </w:rPr>
        <w:t>6</w:t>
      </w:r>
      <w:r w:rsidRPr="00C40026">
        <w:rPr>
          <w:rFonts w:ascii="Verdana" w:hAnsi="Verdana"/>
          <w:b/>
          <w:sz w:val="20"/>
        </w:rPr>
        <w:t xml:space="preserve"> </w:t>
      </w:r>
      <w:r w:rsidR="00D45034">
        <w:rPr>
          <w:rFonts w:ascii="Verdana" w:hAnsi="Verdana"/>
          <w:b/>
          <w:sz w:val="20"/>
        </w:rPr>
        <w:t>j</w:t>
      </w:r>
      <w:r w:rsidR="0067290A">
        <w:rPr>
          <w:rFonts w:ascii="Verdana" w:hAnsi="Verdana"/>
          <w:b/>
          <w:sz w:val="20"/>
        </w:rPr>
        <w:t>uin</w:t>
      </w:r>
      <w:r w:rsidRPr="00C40026">
        <w:rPr>
          <w:rFonts w:ascii="Verdana" w:hAnsi="Verdana"/>
          <w:b/>
          <w:sz w:val="20"/>
        </w:rPr>
        <w:t xml:space="preserve"> 20</w:t>
      </w:r>
      <w:r w:rsidR="00D45034">
        <w:rPr>
          <w:rFonts w:ascii="Verdana" w:hAnsi="Verdana"/>
          <w:b/>
          <w:sz w:val="20"/>
        </w:rPr>
        <w:t>21</w:t>
      </w:r>
      <w:r w:rsidRPr="00C40026">
        <w:rPr>
          <w:rFonts w:ascii="Verdana" w:hAnsi="Verdana"/>
          <w:b/>
          <w:sz w:val="20"/>
        </w:rPr>
        <w:t xml:space="preserve"> pour</w:t>
      </w:r>
      <w:r w:rsidR="007D4605">
        <w:rPr>
          <w:rFonts w:ascii="Verdana" w:hAnsi="Verdana"/>
          <w:b/>
          <w:sz w:val="20"/>
        </w:rPr>
        <w:t xml:space="preserve"> </w:t>
      </w:r>
      <w:r w:rsidRPr="00C40026">
        <w:rPr>
          <w:rFonts w:ascii="Verdana" w:hAnsi="Verdana"/>
          <w:b/>
          <w:sz w:val="20"/>
        </w:rPr>
        <w:t xml:space="preserve">: </w:t>
      </w:r>
    </w:p>
    <w:p w14:paraId="5F6DCEAD" w14:textId="77777777" w:rsidR="007A7FB2" w:rsidRPr="00C40026" w:rsidRDefault="007A7FB2" w:rsidP="005967B6">
      <w:pPr>
        <w:rPr>
          <w:rFonts w:ascii="Verdana" w:hAnsi="Verdana"/>
          <w:b/>
          <w:sz w:val="20"/>
          <w:szCs w:val="20"/>
        </w:rPr>
      </w:pPr>
    </w:p>
    <w:p w14:paraId="129EA109" w14:textId="77777777" w:rsidR="007A7FB2" w:rsidRPr="00C40026" w:rsidRDefault="007A7FB2" w:rsidP="005967B6">
      <w:pPr>
        <w:rPr>
          <w:rFonts w:ascii="Verdana" w:hAnsi="Verdana"/>
          <w:b/>
          <w:sz w:val="20"/>
          <w:szCs w:val="20"/>
        </w:rPr>
      </w:pPr>
    </w:p>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68"/>
        <w:gridCol w:w="7393"/>
      </w:tblGrid>
      <w:tr w:rsidR="007A7FB2" w:rsidRPr="00C40026" w14:paraId="4209F6CC" w14:textId="77777777" w:rsidTr="007A7FB2">
        <w:trPr>
          <w:trHeight w:val="340"/>
        </w:trPr>
        <w:tc>
          <w:tcPr>
            <w:tcW w:w="2668" w:type="dxa"/>
          </w:tcPr>
          <w:p w14:paraId="6A94961B" w14:textId="77777777" w:rsidR="007A7FB2" w:rsidRPr="00C40026" w:rsidRDefault="007A7FB2" w:rsidP="007A7FB2">
            <w:pPr>
              <w:spacing w:line="259" w:lineRule="auto"/>
              <w:rPr>
                <w:rFonts w:ascii="Verdana" w:hAnsi="Verdana"/>
                <w:b/>
                <w:sz w:val="20"/>
                <w:szCs w:val="20"/>
              </w:rPr>
            </w:pPr>
            <w:r w:rsidRPr="00C40026">
              <w:rPr>
                <w:rFonts w:ascii="Verdana" w:hAnsi="Verdana"/>
                <w:b/>
                <w:sz w:val="20"/>
              </w:rPr>
              <w:t>Prénom, nom</w:t>
            </w:r>
            <w:r w:rsidR="007D4605">
              <w:rPr>
                <w:rFonts w:ascii="Verdana" w:hAnsi="Verdana"/>
                <w:b/>
                <w:sz w:val="20"/>
              </w:rPr>
              <w:t xml:space="preserve"> </w:t>
            </w:r>
            <w:r w:rsidRPr="00C40026">
              <w:rPr>
                <w:rFonts w:ascii="Verdana" w:hAnsi="Verdana"/>
                <w:b/>
                <w:sz w:val="20"/>
              </w:rPr>
              <w:t>:</w:t>
            </w:r>
          </w:p>
        </w:tc>
        <w:tc>
          <w:tcPr>
            <w:tcW w:w="7393" w:type="dxa"/>
          </w:tcPr>
          <w:p w14:paraId="614F80B8" w14:textId="77777777" w:rsidR="007A7FB2" w:rsidRPr="00C40026" w:rsidRDefault="007A7FB2" w:rsidP="007A7FB2">
            <w:pPr>
              <w:spacing w:line="259" w:lineRule="auto"/>
              <w:rPr>
                <w:rFonts w:ascii="Verdana" w:hAnsi="Verdana"/>
                <w:sz w:val="20"/>
                <w:szCs w:val="20"/>
              </w:rPr>
            </w:pPr>
            <w:r w:rsidRPr="00C40026">
              <w:rPr>
                <w:rFonts w:ascii="Verdana" w:hAnsi="Verdana"/>
                <w:sz w:val="20"/>
              </w:rPr>
              <w:fldChar w:fldCharType="begin">
                <w:ffData>
                  <w:name w:val="Text1"/>
                  <w:enabled/>
                  <w:calcOnExit w:val="0"/>
                  <w:textInput/>
                </w:ffData>
              </w:fldChar>
            </w:r>
            <w:bookmarkStart w:id="0" w:name="Text1"/>
            <w:r w:rsidRPr="00C40026">
              <w:rPr>
                <w:rFonts w:ascii="Verdana" w:hAnsi="Verdana"/>
                <w:sz w:val="20"/>
              </w:rPr>
              <w:instrText xml:space="preserve"> FORMTEXT </w:instrText>
            </w:r>
            <w:r w:rsidRPr="00C40026">
              <w:rPr>
                <w:rFonts w:ascii="Verdana" w:hAnsi="Verdana"/>
                <w:sz w:val="20"/>
              </w:rPr>
            </w:r>
            <w:r w:rsidRPr="00C40026">
              <w:rPr>
                <w:rFonts w:ascii="Verdana" w:hAnsi="Verdana"/>
                <w:sz w:val="20"/>
              </w:rPr>
              <w:fldChar w:fldCharType="separate"/>
            </w:r>
            <w:r w:rsidRPr="00C40026">
              <w:rPr>
                <w:rFonts w:ascii="Verdana" w:hAnsi="Verdana"/>
                <w:noProof/>
                <w:sz w:val="20"/>
              </w:rPr>
              <w:t>     </w:t>
            </w:r>
            <w:r w:rsidRPr="00C40026">
              <w:rPr>
                <w:rFonts w:ascii="Verdana" w:hAnsi="Verdana"/>
                <w:sz w:val="20"/>
              </w:rPr>
              <w:fldChar w:fldCharType="end"/>
            </w:r>
            <w:bookmarkEnd w:id="0"/>
          </w:p>
        </w:tc>
      </w:tr>
      <w:tr w:rsidR="007A7FB2" w:rsidRPr="00C40026" w14:paraId="66C2DE64" w14:textId="77777777" w:rsidTr="007A7FB2">
        <w:trPr>
          <w:trHeight w:val="340"/>
        </w:trPr>
        <w:tc>
          <w:tcPr>
            <w:tcW w:w="2668" w:type="dxa"/>
          </w:tcPr>
          <w:p w14:paraId="134DD5CA" w14:textId="77777777" w:rsidR="007A7FB2" w:rsidRPr="00C40026" w:rsidRDefault="007A7FB2" w:rsidP="007A7FB2">
            <w:pPr>
              <w:spacing w:line="259" w:lineRule="auto"/>
              <w:rPr>
                <w:rFonts w:ascii="Verdana" w:hAnsi="Verdana"/>
                <w:b/>
                <w:sz w:val="20"/>
                <w:szCs w:val="20"/>
              </w:rPr>
            </w:pPr>
            <w:r w:rsidRPr="00C40026">
              <w:rPr>
                <w:rFonts w:ascii="Verdana" w:hAnsi="Verdana"/>
                <w:b/>
                <w:sz w:val="20"/>
              </w:rPr>
              <w:t>Date de naissance</w:t>
            </w:r>
            <w:r w:rsidR="007D4605">
              <w:rPr>
                <w:rFonts w:ascii="Verdana" w:hAnsi="Verdana"/>
                <w:b/>
                <w:sz w:val="20"/>
              </w:rPr>
              <w:t> :</w:t>
            </w:r>
          </w:p>
        </w:tc>
        <w:tc>
          <w:tcPr>
            <w:tcW w:w="7393" w:type="dxa"/>
          </w:tcPr>
          <w:p w14:paraId="2C0F6C84" w14:textId="77777777" w:rsidR="007A7FB2" w:rsidRPr="00C40026" w:rsidRDefault="007A7FB2" w:rsidP="007A7FB2">
            <w:pPr>
              <w:spacing w:line="259" w:lineRule="auto"/>
              <w:rPr>
                <w:rFonts w:ascii="Verdana" w:hAnsi="Verdana"/>
                <w:sz w:val="20"/>
                <w:szCs w:val="20"/>
              </w:rPr>
            </w:pPr>
            <w:r w:rsidRPr="00C40026">
              <w:rPr>
                <w:rFonts w:ascii="Verdana" w:hAnsi="Verdana"/>
                <w:sz w:val="20"/>
              </w:rPr>
              <w:fldChar w:fldCharType="begin">
                <w:ffData>
                  <w:name w:val="Text1"/>
                  <w:enabled/>
                  <w:calcOnExit w:val="0"/>
                  <w:textInput/>
                </w:ffData>
              </w:fldChar>
            </w:r>
            <w:r w:rsidRPr="00C40026">
              <w:rPr>
                <w:rFonts w:ascii="Verdana" w:hAnsi="Verdana"/>
                <w:sz w:val="20"/>
              </w:rPr>
              <w:instrText xml:space="preserve"> FORMTEXT </w:instrText>
            </w:r>
            <w:r w:rsidRPr="00C40026">
              <w:rPr>
                <w:rFonts w:ascii="Verdana" w:hAnsi="Verdana"/>
                <w:sz w:val="20"/>
              </w:rPr>
            </w:r>
            <w:r w:rsidRPr="00C40026">
              <w:rPr>
                <w:rFonts w:ascii="Verdana" w:hAnsi="Verdana"/>
                <w:sz w:val="20"/>
              </w:rPr>
              <w:fldChar w:fldCharType="separate"/>
            </w:r>
            <w:r w:rsidRPr="00C40026">
              <w:rPr>
                <w:rFonts w:ascii="Verdana" w:hAnsi="Verdana"/>
                <w:noProof/>
                <w:sz w:val="20"/>
              </w:rPr>
              <w:t>     </w:t>
            </w:r>
            <w:r w:rsidRPr="00C40026">
              <w:rPr>
                <w:rFonts w:ascii="Verdana" w:hAnsi="Verdana"/>
                <w:sz w:val="20"/>
              </w:rPr>
              <w:fldChar w:fldCharType="end"/>
            </w:r>
          </w:p>
        </w:tc>
      </w:tr>
      <w:tr w:rsidR="007A7FB2" w:rsidRPr="00C40026" w14:paraId="01F5AA31" w14:textId="77777777" w:rsidTr="007A7FB2">
        <w:trPr>
          <w:trHeight w:val="340"/>
        </w:trPr>
        <w:tc>
          <w:tcPr>
            <w:tcW w:w="2668" w:type="dxa"/>
          </w:tcPr>
          <w:p w14:paraId="5CDA8562" w14:textId="77777777" w:rsidR="007A7FB2" w:rsidRPr="00C40026" w:rsidRDefault="007A7FB2" w:rsidP="007A7FB2">
            <w:pPr>
              <w:spacing w:line="259" w:lineRule="auto"/>
              <w:rPr>
                <w:rFonts w:ascii="Verdana" w:hAnsi="Verdana"/>
                <w:b/>
                <w:sz w:val="20"/>
                <w:szCs w:val="20"/>
              </w:rPr>
            </w:pPr>
            <w:r w:rsidRPr="00C40026">
              <w:rPr>
                <w:rFonts w:ascii="Verdana" w:hAnsi="Verdana"/>
                <w:b/>
                <w:sz w:val="20"/>
              </w:rPr>
              <w:t>Numéro d'assuré</w:t>
            </w:r>
            <w:r w:rsidR="007D4605">
              <w:rPr>
                <w:rFonts w:ascii="Verdana" w:hAnsi="Verdana"/>
                <w:b/>
                <w:sz w:val="20"/>
              </w:rPr>
              <w:t xml:space="preserve"> </w:t>
            </w:r>
            <w:r w:rsidRPr="00C40026">
              <w:rPr>
                <w:rFonts w:ascii="Verdana" w:hAnsi="Verdana"/>
                <w:b/>
                <w:sz w:val="20"/>
              </w:rPr>
              <w:t>:</w:t>
            </w:r>
          </w:p>
        </w:tc>
        <w:tc>
          <w:tcPr>
            <w:tcW w:w="7393" w:type="dxa"/>
          </w:tcPr>
          <w:p w14:paraId="463BDF63" w14:textId="77777777" w:rsidR="007A7FB2" w:rsidRPr="00C40026" w:rsidRDefault="007A7FB2" w:rsidP="007A7FB2">
            <w:pPr>
              <w:spacing w:line="259" w:lineRule="auto"/>
              <w:rPr>
                <w:rFonts w:ascii="Verdana" w:hAnsi="Verdana"/>
                <w:sz w:val="20"/>
                <w:szCs w:val="20"/>
              </w:rPr>
            </w:pPr>
            <w:r w:rsidRPr="00C40026">
              <w:rPr>
                <w:rFonts w:ascii="Verdana" w:hAnsi="Verdana"/>
                <w:sz w:val="20"/>
              </w:rPr>
              <w:fldChar w:fldCharType="begin">
                <w:ffData>
                  <w:name w:val="Text1"/>
                  <w:enabled/>
                  <w:calcOnExit w:val="0"/>
                  <w:textInput/>
                </w:ffData>
              </w:fldChar>
            </w:r>
            <w:r w:rsidRPr="00C40026">
              <w:rPr>
                <w:rFonts w:ascii="Verdana" w:hAnsi="Verdana"/>
                <w:sz w:val="20"/>
              </w:rPr>
              <w:instrText xml:space="preserve"> FORMTEXT </w:instrText>
            </w:r>
            <w:r w:rsidRPr="00C40026">
              <w:rPr>
                <w:rFonts w:ascii="Verdana" w:hAnsi="Verdana"/>
                <w:sz w:val="20"/>
              </w:rPr>
            </w:r>
            <w:r w:rsidRPr="00C40026">
              <w:rPr>
                <w:rFonts w:ascii="Verdana" w:hAnsi="Verdana"/>
                <w:sz w:val="20"/>
              </w:rPr>
              <w:fldChar w:fldCharType="separate"/>
            </w:r>
            <w:r w:rsidRPr="00C40026">
              <w:rPr>
                <w:rFonts w:ascii="Verdana" w:hAnsi="Verdana"/>
                <w:noProof/>
                <w:sz w:val="20"/>
              </w:rPr>
              <w:t>     </w:t>
            </w:r>
            <w:r w:rsidRPr="00C40026">
              <w:rPr>
                <w:rFonts w:ascii="Verdana" w:hAnsi="Verdana"/>
                <w:sz w:val="20"/>
              </w:rPr>
              <w:fldChar w:fldCharType="end"/>
            </w:r>
          </w:p>
        </w:tc>
      </w:tr>
      <w:tr w:rsidR="007A7FB2" w:rsidRPr="00C40026" w14:paraId="602CB94F" w14:textId="77777777" w:rsidTr="007A7FB2">
        <w:trPr>
          <w:trHeight w:val="340"/>
        </w:trPr>
        <w:tc>
          <w:tcPr>
            <w:tcW w:w="2668" w:type="dxa"/>
          </w:tcPr>
          <w:p w14:paraId="488EC961" w14:textId="77777777" w:rsidR="007A7FB2" w:rsidRPr="00C40026" w:rsidRDefault="007A7FB2" w:rsidP="007A7FB2">
            <w:pPr>
              <w:spacing w:line="259" w:lineRule="auto"/>
              <w:rPr>
                <w:rFonts w:ascii="Verdana" w:hAnsi="Verdana"/>
                <w:b/>
                <w:sz w:val="20"/>
                <w:szCs w:val="20"/>
              </w:rPr>
            </w:pPr>
            <w:r w:rsidRPr="00C40026">
              <w:rPr>
                <w:rFonts w:ascii="Verdana" w:hAnsi="Verdana"/>
                <w:b/>
                <w:sz w:val="20"/>
              </w:rPr>
              <w:t>Numéro d'accident</w:t>
            </w:r>
            <w:r w:rsidR="007D4605">
              <w:rPr>
                <w:rFonts w:ascii="Verdana" w:hAnsi="Verdana"/>
                <w:b/>
                <w:sz w:val="20"/>
              </w:rPr>
              <w:t xml:space="preserve"> </w:t>
            </w:r>
            <w:r w:rsidRPr="00C40026">
              <w:rPr>
                <w:rFonts w:ascii="Verdana" w:hAnsi="Verdana"/>
                <w:b/>
                <w:sz w:val="20"/>
              </w:rPr>
              <w:t>:</w:t>
            </w:r>
          </w:p>
        </w:tc>
        <w:tc>
          <w:tcPr>
            <w:tcW w:w="7393" w:type="dxa"/>
          </w:tcPr>
          <w:p w14:paraId="28D07532" w14:textId="77777777" w:rsidR="007A7FB2" w:rsidRPr="00C40026" w:rsidRDefault="007A7FB2" w:rsidP="007A7FB2">
            <w:pPr>
              <w:spacing w:line="259" w:lineRule="auto"/>
              <w:rPr>
                <w:rFonts w:ascii="Verdana" w:hAnsi="Verdana"/>
                <w:sz w:val="20"/>
                <w:szCs w:val="20"/>
              </w:rPr>
            </w:pPr>
            <w:r w:rsidRPr="00C40026">
              <w:rPr>
                <w:rFonts w:ascii="Verdana" w:hAnsi="Verdana"/>
                <w:sz w:val="20"/>
              </w:rPr>
              <w:fldChar w:fldCharType="begin">
                <w:ffData>
                  <w:name w:val="Text1"/>
                  <w:enabled/>
                  <w:calcOnExit w:val="0"/>
                  <w:textInput/>
                </w:ffData>
              </w:fldChar>
            </w:r>
            <w:r w:rsidRPr="00C40026">
              <w:rPr>
                <w:rFonts w:ascii="Verdana" w:hAnsi="Verdana"/>
                <w:sz w:val="20"/>
              </w:rPr>
              <w:instrText xml:space="preserve"> FORMTEXT </w:instrText>
            </w:r>
            <w:r w:rsidRPr="00C40026">
              <w:rPr>
                <w:rFonts w:ascii="Verdana" w:hAnsi="Verdana"/>
                <w:sz w:val="20"/>
              </w:rPr>
            </w:r>
            <w:r w:rsidRPr="00C40026">
              <w:rPr>
                <w:rFonts w:ascii="Verdana" w:hAnsi="Verdana"/>
                <w:sz w:val="20"/>
              </w:rPr>
              <w:fldChar w:fldCharType="separate"/>
            </w:r>
            <w:r w:rsidRPr="00C40026">
              <w:rPr>
                <w:rFonts w:ascii="Verdana" w:hAnsi="Verdana"/>
                <w:noProof/>
                <w:sz w:val="20"/>
              </w:rPr>
              <w:t>     </w:t>
            </w:r>
            <w:r w:rsidRPr="00C40026">
              <w:rPr>
                <w:rFonts w:ascii="Verdana" w:hAnsi="Verdana"/>
                <w:sz w:val="20"/>
              </w:rPr>
              <w:fldChar w:fldCharType="end"/>
            </w:r>
          </w:p>
        </w:tc>
      </w:tr>
      <w:tr w:rsidR="007A7FB2" w:rsidRPr="00C40026" w14:paraId="3550BADA" w14:textId="77777777" w:rsidTr="007A7FB2">
        <w:trPr>
          <w:trHeight w:val="340"/>
        </w:trPr>
        <w:tc>
          <w:tcPr>
            <w:tcW w:w="2668" w:type="dxa"/>
          </w:tcPr>
          <w:p w14:paraId="2ECDE3BE" w14:textId="77777777" w:rsidR="007A7FB2" w:rsidRPr="00C40026" w:rsidRDefault="007A7FB2" w:rsidP="007A7FB2">
            <w:pPr>
              <w:spacing w:line="259" w:lineRule="auto"/>
              <w:rPr>
                <w:rFonts w:ascii="Verdana" w:hAnsi="Verdana"/>
                <w:b/>
                <w:sz w:val="20"/>
                <w:szCs w:val="20"/>
              </w:rPr>
            </w:pPr>
            <w:r w:rsidRPr="00C40026">
              <w:rPr>
                <w:rFonts w:ascii="Verdana" w:hAnsi="Verdana"/>
                <w:b/>
                <w:sz w:val="20"/>
              </w:rPr>
              <w:t>Diagnostic</w:t>
            </w:r>
            <w:r w:rsidR="007D4605">
              <w:rPr>
                <w:rFonts w:ascii="Verdana" w:hAnsi="Verdana"/>
                <w:b/>
                <w:sz w:val="20"/>
              </w:rPr>
              <w:t xml:space="preserve"> </w:t>
            </w:r>
            <w:r w:rsidRPr="00C40026">
              <w:rPr>
                <w:rFonts w:ascii="Verdana" w:hAnsi="Verdana"/>
                <w:b/>
                <w:sz w:val="20"/>
              </w:rPr>
              <w:t>:</w:t>
            </w:r>
          </w:p>
        </w:tc>
        <w:tc>
          <w:tcPr>
            <w:tcW w:w="7393" w:type="dxa"/>
          </w:tcPr>
          <w:p w14:paraId="2BA6B3E9" w14:textId="77777777" w:rsidR="007A7FB2" w:rsidRPr="00C40026" w:rsidRDefault="007A7FB2" w:rsidP="007A7FB2">
            <w:pPr>
              <w:spacing w:line="259" w:lineRule="auto"/>
              <w:rPr>
                <w:rFonts w:ascii="Verdana" w:hAnsi="Verdana"/>
                <w:sz w:val="20"/>
                <w:szCs w:val="20"/>
              </w:rPr>
            </w:pPr>
            <w:r w:rsidRPr="00C40026">
              <w:rPr>
                <w:rFonts w:ascii="Verdana" w:hAnsi="Verdana"/>
                <w:sz w:val="20"/>
              </w:rPr>
              <w:fldChar w:fldCharType="begin">
                <w:ffData>
                  <w:name w:val="Text1"/>
                  <w:enabled/>
                  <w:calcOnExit w:val="0"/>
                  <w:textInput/>
                </w:ffData>
              </w:fldChar>
            </w:r>
            <w:r w:rsidRPr="00C40026">
              <w:rPr>
                <w:rFonts w:ascii="Verdana" w:hAnsi="Verdana"/>
                <w:sz w:val="20"/>
              </w:rPr>
              <w:instrText xml:space="preserve"> FORMTEXT </w:instrText>
            </w:r>
            <w:r w:rsidRPr="00C40026">
              <w:rPr>
                <w:rFonts w:ascii="Verdana" w:hAnsi="Verdana"/>
                <w:sz w:val="20"/>
              </w:rPr>
            </w:r>
            <w:r w:rsidRPr="00C40026">
              <w:rPr>
                <w:rFonts w:ascii="Verdana" w:hAnsi="Verdana"/>
                <w:sz w:val="20"/>
              </w:rPr>
              <w:fldChar w:fldCharType="separate"/>
            </w:r>
            <w:r w:rsidRPr="00C40026">
              <w:rPr>
                <w:rFonts w:ascii="Verdana" w:hAnsi="Verdana"/>
                <w:noProof/>
                <w:sz w:val="20"/>
              </w:rPr>
              <w:t>     </w:t>
            </w:r>
            <w:r w:rsidRPr="00C40026">
              <w:rPr>
                <w:rFonts w:ascii="Verdana" w:hAnsi="Verdana"/>
                <w:sz w:val="20"/>
              </w:rPr>
              <w:fldChar w:fldCharType="end"/>
            </w:r>
          </w:p>
        </w:tc>
      </w:tr>
      <w:tr w:rsidR="007A7FB2" w:rsidRPr="00C40026" w14:paraId="2AC08816" w14:textId="77777777" w:rsidTr="007A7FB2">
        <w:trPr>
          <w:trHeight w:val="340"/>
        </w:trPr>
        <w:tc>
          <w:tcPr>
            <w:tcW w:w="2668" w:type="dxa"/>
          </w:tcPr>
          <w:p w14:paraId="751D026D" w14:textId="77777777" w:rsidR="007A7FB2" w:rsidRPr="00C40026" w:rsidRDefault="007A7FB2" w:rsidP="007A7FB2">
            <w:pPr>
              <w:spacing w:line="259" w:lineRule="auto"/>
              <w:rPr>
                <w:rFonts w:ascii="Verdana" w:hAnsi="Verdana"/>
                <w:b/>
                <w:sz w:val="20"/>
                <w:szCs w:val="20"/>
              </w:rPr>
            </w:pPr>
            <w:r w:rsidRPr="00C40026">
              <w:rPr>
                <w:rFonts w:ascii="Verdana" w:hAnsi="Verdana"/>
                <w:b/>
                <w:sz w:val="20"/>
              </w:rPr>
              <w:t>Traitement</w:t>
            </w:r>
            <w:r w:rsidR="007D4605">
              <w:rPr>
                <w:rFonts w:ascii="Verdana" w:hAnsi="Verdana"/>
                <w:b/>
                <w:sz w:val="20"/>
              </w:rPr>
              <w:t xml:space="preserve"> </w:t>
            </w:r>
            <w:r w:rsidRPr="00C40026">
              <w:rPr>
                <w:rFonts w:ascii="Verdana" w:hAnsi="Verdana"/>
                <w:b/>
                <w:sz w:val="20"/>
              </w:rPr>
              <w:t>:</w:t>
            </w:r>
          </w:p>
        </w:tc>
        <w:tc>
          <w:tcPr>
            <w:tcW w:w="7393" w:type="dxa"/>
          </w:tcPr>
          <w:p w14:paraId="74F30981" w14:textId="77777777" w:rsidR="007A7FB2" w:rsidRPr="00C40026" w:rsidRDefault="007A7FB2" w:rsidP="007A7FB2">
            <w:pPr>
              <w:spacing w:line="259" w:lineRule="auto"/>
              <w:rPr>
                <w:rFonts w:ascii="Verdana" w:hAnsi="Verdana"/>
                <w:sz w:val="20"/>
                <w:szCs w:val="20"/>
              </w:rPr>
            </w:pPr>
            <w:r w:rsidRPr="00C40026">
              <w:rPr>
                <w:rFonts w:ascii="Verdana" w:hAnsi="Verdana"/>
                <w:sz w:val="20"/>
              </w:rPr>
              <w:fldChar w:fldCharType="begin">
                <w:ffData>
                  <w:name w:val="Text1"/>
                  <w:enabled/>
                  <w:calcOnExit w:val="0"/>
                  <w:textInput/>
                </w:ffData>
              </w:fldChar>
            </w:r>
            <w:r w:rsidRPr="00C40026">
              <w:rPr>
                <w:rFonts w:ascii="Verdana" w:hAnsi="Verdana"/>
                <w:sz w:val="20"/>
              </w:rPr>
              <w:instrText xml:space="preserve"> FORMTEXT </w:instrText>
            </w:r>
            <w:r w:rsidRPr="00C40026">
              <w:rPr>
                <w:rFonts w:ascii="Verdana" w:hAnsi="Verdana"/>
                <w:sz w:val="20"/>
              </w:rPr>
            </w:r>
            <w:r w:rsidRPr="00C40026">
              <w:rPr>
                <w:rFonts w:ascii="Verdana" w:hAnsi="Verdana"/>
                <w:sz w:val="20"/>
              </w:rPr>
              <w:fldChar w:fldCharType="separate"/>
            </w:r>
            <w:r w:rsidRPr="00C40026">
              <w:rPr>
                <w:rFonts w:ascii="Verdana" w:hAnsi="Verdana"/>
                <w:noProof/>
                <w:sz w:val="20"/>
              </w:rPr>
              <w:t>     </w:t>
            </w:r>
            <w:r w:rsidRPr="00C40026">
              <w:rPr>
                <w:rFonts w:ascii="Verdana" w:hAnsi="Verdana"/>
                <w:sz w:val="20"/>
              </w:rPr>
              <w:fldChar w:fldCharType="end"/>
            </w:r>
            <w:r w:rsidRPr="00C40026">
              <w:rPr>
                <w:rFonts w:ascii="Verdana" w:hAnsi="Verdana"/>
                <w:sz w:val="20"/>
              </w:rPr>
              <w:t xml:space="preserve"> thalamotomie ...latérale centrale-latérale par la technique d’ultrasons focalisés guidés par résonance magnétique (MRgFUS)</w:t>
            </w:r>
          </w:p>
        </w:tc>
      </w:tr>
      <w:tr w:rsidR="00633CDA" w:rsidRPr="00C40026" w14:paraId="430BBF29" w14:textId="77777777" w:rsidTr="00633CDA">
        <w:trPr>
          <w:trHeight w:val="340"/>
        </w:trPr>
        <w:tc>
          <w:tcPr>
            <w:tcW w:w="2668" w:type="dxa"/>
            <w:vAlign w:val="center"/>
          </w:tcPr>
          <w:p w14:paraId="37316EF6" w14:textId="77777777" w:rsidR="00633CDA" w:rsidRPr="00C40026" w:rsidRDefault="00633CDA" w:rsidP="00633CDA">
            <w:pPr>
              <w:spacing w:line="259" w:lineRule="auto"/>
              <w:rPr>
                <w:rFonts w:ascii="Verdana" w:hAnsi="Verdana"/>
                <w:b/>
                <w:sz w:val="20"/>
                <w:szCs w:val="20"/>
              </w:rPr>
            </w:pPr>
          </w:p>
        </w:tc>
        <w:tc>
          <w:tcPr>
            <w:tcW w:w="7393" w:type="dxa"/>
            <w:vAlign w:val="center"/>
          </w:tcPr>
          <w:p w14:paraId="7E7AAB54" w14:textId="77777777" w:rsidR="00633CDA" w:rsidRPr="00C40026" w:rsidRDefault="00633CDA" w:rsidP="00633CDA">
            <w:pPr>
              <w:spacing w:line="259" w:lineRule="auto"/>
              <w:rPr>
                <w:rFonts w:ascii="Verdana" w:hAnsi="Verdana"/>
                <w:sz w:val="15"/>
                <w:szCs w:val="15"/>
              </w:rPr>
            </w:pPr>
            <w:r w:rsidRPr="00C40026">
              <w:rPr>
                <w:rFonts w:ascii="Verdana" w:hAnsi="Verdana"/>
                <w:sz w:val="15"/>
              </w:rPr>
              <w:t>(Tous les champs du formulaire peuvent être activés directement à l'aide de la touche F11 ou de la combinaison de touches Shift+F11)</w:t>
            </w:r>
          </w:p>
        </w:tc>
      </w:tr>
    </w:tbl>
    <w:p w14:paraId="34B1554C" w14:textId="77777777" w:rsidR="00B52DA0" w:rsidRPr="00C40026" w:rsidRDefault="00B52DA0" w:rsidP="005967B6">
      <w:pPr>
        <w:rPr>
          <w:rFonts w:ascii="Verdana" w:hAnsi="Verdana"/>
          <w:sz w:val="20"/>
          <w:szCs w:val="20"/>
        </w:rPr>
      </w:pPr>
    </w:p>
    <w:p w14:paraId="12221071" w14:textId="77777777" w:rsidR="00221DE6" w:rsidRPr="00C40026" w:rsidRDefault="00221DE6" w:rsidP="005967B6">
      <w:pPr>
        <w:rPr>
          <w:rFonts w:ascii="Verdana" w:hAnsi="Verdana"/>
          <w:sz w:val="20"/>
          <w:szCs w:val="20"/>
        </w:rPr>
      </w:pPr>
    </w:p>
    <w:p w14:paraId="3FDD6BA2" w14:textId="77777777" w:rsidR="00B52DA0" w:rsidRPr="00C40026" w:rsidRDefault="00B52DA0" w:rsidP="001158D9">
      <w:pPr>
        <w:spacing w:after="240" w:line="259" w:lineRule="auto"/>
        <w:rPr>
          <w:rFonts w:ascii="Verdana" w:hAnsi="Verdana"/>
          <w:sz w:val="20"/>
          <w:szCs w:val="20"/>
        </w:rPr>
      </w:pPr>
      <w:r w:rsidRPr="00C40026">
        <w:rPr>
          <w:rFonts w:ascii="Verdana" w:hAnsi="Verdana"/>
          <w:sz w:val="20"/>
        </w:rPr>
        <w:t>Madame, Monsieur,</w:t>
      </w:r>
    </w:p>
    <w:p w14:paraId="2C77029D" w14:textId="77777777" w:rsidR="004A40BD" w:rsidRPr="00C40026" w:rsidRDefault="00E92FC8" w:rsidP="007A7FB2">
      <w:pPr>
        <w:spacing w:after="160" w:line="259" w:lineRule="auto"/>
        <w:jc w:val="both"/>
        <w:rPr>
          <w:rFonts w:ascii="Verdana" w:hAnsi="Verdana"/>
          <w:sz w:val="20"/>
          <w:szCs w:val="20"/>
        </w:rPr>
      </w:pPr>
      <w:r w:rsidRPr="00C40026">
        <w:rPr>
          <w:rFonts w:ascii="Verdana" w:hAnsi="Verdana"/>
          <w:sz w:val="20"/>
        </w:rPr>
        <w:t xml:space="preserve">L'ordonnance du DFI sur les prestations dans l’assurance obligatoire des soins en cas de maladie du 17 juin 2015 établit l'obligation de prise en charge </w:t>
      </w:r>
      <w:r w:rsidR="00C40026">
        <w:rPr>
          <w:rFonts w:ascii="Verdana" w:hAnsi="Verdana"/>
          <w:sz w:val="20"/>
        </w:rPr>
        <w:t>de</w:t>
      </w:r>
      <w:r w:rsidRPr="00C40026">
        <w:rPr>
          <w:rFonts w:ascii="Verdana" w:hAnsi="Verdana"/>
          <w:sz w:val="20"/>
        </w:rPr>
        <w:t xml:space="preserve"> la neurochirurgie fonctionnelle par ultrasons en vue du </w:t>
      </w:r>
      <w:r w:rsidRPr="00C40026">
        <w:rPr>
          <w:rFonts w:ascii="Verdana" w:hAnsi="Verdana"/>
          <w:b/>
          <w:sz w:val="20"/>
        </w:rPr>
        <w:t>traitement des «douleurs neuropathiques graves chroniques, réfractaires au traitement»</w:t>
      </w:r>
      <w:r w:rsidRPr="00C40026">
        <w:rPr>
          <w:rFonts w:ascii="Verdana" w:hAnsi="Verdana"/>
          <w:sz w:val="20"/>
        </w:rPr>
        <w:t xml:space="preserve">, avec obligation du centre de traitement de tenir un registre d'évaluation. </w:t>
      </w:r>
    </w:p>
    <w:p w14:paraId="6CAC15ED" w14:textId="77777777" w:rsidR="00B52DA0" w:rsidRPr="00C40026" w:rsidRDefault="00E15F01" w:rsidP="007A7FB2">
      <w:pPr>
        <w:spacing w:after="160" w:line="259" w:lineRule="auto"/>
        <w:jc w:val="both"/>
        <w:rPr>
          <w:rFonts w:ascii="Verdana" w:hAnsi="Verdana"/>
          <w:sz w:val="20"/>
          <w:szCs w:val="20"/>
        </w:rPr>
      </w:pPr>
      <w:r w:rsidRPr="00C40026">
        <w:rPr>
          <w:rFonts w:ascii="Verdana" w:hAnsi="Verdana"/>
          <w:sz w:val="20"/>
        </w:rPr>
        <w:t>La Commission des tarifs médicaux LAA (CTM) recommande la prise en charge des prestations pour les patient</w:t>
      </w:r>
      <w:r w:rsidR="00C40026">
        <w:rPr>
          <w:rFonts w:ascii="Verdana" w:hAnsi="Verdana"/>
          <w:sz w:val="20"/>
        </w:rPr>
        <w:t>s</w:t>
      </w:r>
      <w:r w:rsidRPr="00C40026">
        <w:rPr>
          <w:rFonts w:ascii="Verdana" w:hAnsi="Verdana"/>
          <w:sz w:val="20"/>
        </w:rPr>
        <w:t xml:space="preserve"> de l'assurance-accidents aux mêmes conditions que celles mentionnées dans l'OPAS. L’assurance militaire </w:t>
      </w:r>
      <w:r w:rsidR="00595C56">
        <w:rPr>
          <w:rFonts w:ascii="Verdana" w:hAnsi="Verdana"/>
          <w:sz w:val="20"/>
        </w:rPr>
        <w:t>s’est ralliée</w:t>
      </w:r>
      <w:r w:rsidRPr="00C40026">
        <w:rPr>
          <w:rFonts w:ascii="Verdana" w:hAnsi="Verdana"/>
          <w:sz w:val="20"/>
        </w:rPr>
        <w:t xml:space="preserve"> à cette prise de position. </w:t>
      </w:r>
    </w:p>
    <w:p w14:paraId="20D21D96" w14:textId="77777777" w:rsidR="00E603AC" w:rsidRPr="00C40026" w:rsidRDefault="00E603AC" w:rsidP="007A7FB2">
      <w:pPr>
        <w:spacing w:after="160" w:line="259" w:lineRule="auto"/>
        <w:jc w:val="both"/>
        <w:rPr>
          <w:rFonts w:ascii="Verdana" w:hAnsi="Verdana"/>
          <w:sz w:val="20"/>
          <w:szCs w:val="20"/>
        </w:rPr>
      </w:pPr>
      <w:r w:rsidRPr="00C40026">
        <w:rPr>
          <w:rFonts w:ascii="Verdana" w:hAnsi="Verdana" w:cs="Arial"/>
          <w:sz w:val="20"/>
        </w:rPr>
        <w:t>L'évaluation et l'appréciation clinique reposent sur une anamnèse détaillée de la douleur</w:t>
      </w:r>
      <w:r w:rsidR="00C40026">
        <w:rPr>
          <w:rFonts w:ascii="Verdana" w:hAnsi="Verdana" w:cs="Arial"/>
          <w:sz w:val="20"/>
        </w:rPr>
        <w:t xml:space="preserve"> </w:t>
      </w:r>
      <w:r w:rsidRPr="00C40026">
        <w:rPr>
          <w:rFonts w:ascii="Verdana" w:hAnsi="Verdana" w:cs="Arial"/>
          <w:sz w:val="20"/>
        </w:rPr>
        <w:t>(</w:t>
      </w:r>
      <w:r w:rsidRPr="00C40026">
        <w:rPr>
          <w:rFonts w:ascii="Verdana" w:hAnsi="Verdana"/>
          <w:sz w:val="20"/>
        </w:rPr>
        <w:t>y c. durée de la symptomatologie - au moins un an - et preuve de la résistance à la thérapie)</w:t>
      </w:r>
      <w:r w:rsidRPr="00C40026">
        <w:rPr>
          <w:rFonts w:ascii="Verdana" w:hAnsi="Verdana" w:cs="Arial"/>
          <w:sz w:val="20"/>
        </w:rPr>
        <w:t xml:space="preserve">, un examen neurologique, une appréciation psychologique </w:t>
      </w:r>
      <w:r w:rsidR="00C40026">
        <w:rPr>
          <w:rFonts w:ascii="Verdana" w:hAnsi="Verdana" w:cs="Arial"/>
          <w:sz w:val="20"/>
        </w:rPr>
        <w:t>et</w:t>
      </w:r>
      <w:r w:rsidRPr="00C40026">
        <w:rPr>
          <w:rFonts w:ascii="Verdana" w:hAnsi="Verdana" w:cs="Arial"/>
          <w:sz w:val="20"/>
        </w:rPr>
        <w:t xml:space="preserve"> l'utilisation d'échelles reconnues: </w:t>
      </w:r>
      <w:r w:rsidRPr="00C40026">
        <w:rPr>
          <w:rFonts w:ascii="Verdana" w:hAnsi="Verdana"/>
          <w:sz w:val="20"/>
        </w:rPr>
        <w:t>(Visual Analogue Scale, McGill Pain Rating Indices et Present Pain In</w:t>
      </w:r>
      <w:r w:rsidR="007D4605">
        <w:rPr>
          <w:rFonts w:ascii="Verdana" w:hAnsi="Verdana"/>
          <w:sz w:val="20"/>
        </w:rPr>
        <w:t>tensity, soulagement de douleur</w:t>
      </w:r>
      <w:r w:rsidR="007D4605">
        <w:rPr>
          <w:rFonts w:ascii="Verdana" w:hAnsi="Verdana"/>
          <w:sz w:val="20"/>
        </w:rPr>
        <w:br/>
      </w:r>
      <w:r w:rsidRPr="00C40026">
        <w:rPr>
          <w:rFonts w:ascii="Verdana" w:hAnsi="Verdana"/>
          <w:sz w:val="20"/>
        </w:rPr>
        <w:t xml:space="preserve">global). A cela s'ajoute la réalisation d'une analyse neurophysiologique au moyen d'un EEG quantitatif (LORETA). </w:t>
      </w:r>
    </w:p>
    <w:p w14:paraId="37C5B9F7" w14:textId="77777777" w:rsidR="00F97896" w:rsidRPr="00C40026" w:rsidRDefault="00F97896" w:rsidP="007A7FB2">
      <w:pPr>
        <w:spacing w:after="160" w:line="259" w:lineRule="auto"/>
        <w:jc w:val="both"/>
        <w:rPr>
          <w:rFonts w:ascii="Verdana" w:hAnsi="Verdana" w:cs="Arial"/>
          <w:sz w:val="20"/>
          <w:szCs w:val="20"/>
        </w:rPr>
      </w:pPr>
      <w:r w:rsidRPr="00C40026">
        <w:rPr>
          <w:rFonts w:ascii="Verdana" w:hAnsi="Verdana" w:cs="Arial"/>
          <w:sz w:val="20"/>
        </w:rPr>
        <w:t>Le vécu émotionnel, la qualité de vie, l'autonomie et les performances cognitives sont dépistés à l'aide des outils suivants</w:t>
      </w:r>
      <w:r w:rsidR="007D4605">
        <w:rPr>
          <w:rFonts w:ascii="Verdana" w:hAnsi="Verdana" w:cs="Arial"/>
          <w:sz w:val="20"/>
        </w:rPr>
        <w:t xml:space="preserve"> </w:t>
      </w:r>
      <w:r w:rsidRPr="00C40026">
        <w:rPr>
          <w:rFonts w:ascii="Verdana" w:hAnsi="Verdana" w:cs="Arial"/>
          <w:sz w:val="20"/>
        </w:rPr>
        <w:t>:</w:t>
      </w:r>
    </w:p>
    <w:p w14:paraId="377C1498" w14:textId="77777777" w:rsidR="00F97896" w:rsidRPr="00C40026" w:rsidRDefault="00F97896" w:rsidP="00CC531C">
      <w:pPr>
        <w:pStyle w:val="Listenabsatz"/>
        <w:numPr>
          <w:ilvl w:val="0"/>
          <w:numId w:val="9"/>
        </w:numPr>
        <w:spacing w:after="120" w:line="259" w:lineRule="auto"/>
        <w:ind w:left="1134" w:hanging="498"/>
        <w:contextualSpacing w:val="0"/>
        <w:rPr>
          <w:rFonts w:ascii="Verdana" w:hAnsi="Verdana"/>
          <w:sz w:val="20"/>
          <w:szCs w:val="20"/>
        </w:rPr>
      </w:pPr>
      <w:r w:rsidRPr="00C40026">
        <w:rPr>
          <w:rFonts w:ascii="Verdana" w:hAnsi="Verdana"/>
          <w:sz w:val="20"/>
        </w:rPr>
        <w:t xml:space="preserve">Hospital Anxiety and Depression Scale </w:t>
      </w:r>
    </w:p>
    <w:p w14:paraId="2E2ED938" w14:textId="77777777" w:rsidR="00F97896" w:rsidRPr="007D4605" w:rsidRDefault="00F97896" w:rsidP="00CC531C">
      <w:pPr>
        <w:pStyle w:val="Listenabsatz"/>
        <w:numPr>
          <w:ilvl w:val="0"/>
          <w:numId w:val="9"/>
        </w:numPr>
        <w:spacing w:after="120" w:line="259" w:lineRule="auto"/>
        <w:ind w:left="1134" w:hanging="498"/>
        <w:contextualSpacing w:val="0"/>
        <w:rPr>
          <w:rFonts w:ascii="Verdana" w:hAnsi="Verdana"/>
          <w:sz w:val="20"/>
          <w:szCs w:val="20"/>
          <w:lang w:val="en-US"/>
        </w:rPr>
      </w:pPr>
      <w:r w:rsidRPr="007D4605">
        <w:rPr>
          <w:rFonts w:ascii="Verdana" w:hAnsi="Verdana"/>
          <w:sz w:val="20"/>
          <w:lang w:val="en-US"/>
        </w:rPr>
        <w:t xml:space="preserve">Quality of life scale WHOQOL-BREF </w:t>
      </w:r>
    </w:p>
    <w:p w14:paraId="5650168E" w14:textId="77777777" w:rsidR="00F97896" w:rsidRPr="007D4605" w:rsidRDefault="00F97896" w:rsidP="00CC531C">
      <w:pPr>
        <w:pStyle w:val="Listenabsatz"/>
        <w:numPr>
          <w:ilvl w:val="0"/>
          <w:numId w:val="9"/>
        </w:numPr>
        <w:spacing w:after="120" w:line="259" w:lineRule="auto"/>
        <w:ind w:left="1134" w:hanging="498"/>
        <w:contextualSpacing w:val="0"/>
        <w:rPr>
          <w:rFonts w:ascii="Verdana" w:hAnsi="Verdana"/>
          <w:sz w:val="20"/>
          <w:szCs w:val="20"/>
          <w:lang w:val="en-US"/>
        </w:rPr>
      </w:pPr>
      <w:r w:rsidRPr="007D4605">
        <w:rPr>
          <w:rFonts w:ascii="Verdana" w:hAnsi="Verdana"/>
          <w:sz w:val="20"/>
          <w:lang w:val="en-US"/>
        </w:rPr>
        <w:t>Schwab &amp; England Activities of Daily Living Scale</w:t>
      </w:r>
    </w:p>
    <w:p w14:paraId="597E1DED" w14:textId="77777777" w:rsidR="00F97896" w:rsidRPr="00C40026" w:rsidRDefault="00F97896" w:rsidP="00CC531C">
      <w:pPr>
        <w:pStyle w:val="Listenabsatz"/>
        <w:numPr>
          <w:ilvl w:val="0"/>
          <w:numId w:val="9"/>
        </w:numPr>
        <w:spacing w:after="120" w:line="259" w:lineRule="auto"/>
        <w:ind w:left="1134" w:hanging="498"/>
        <w:contextualSpacing w:val="0"/>
        <w:rPr>
          <w:rFonts w:ascii="Verdana" w:hAnsi="Verdana"/>
          <w:sz w:val="20"/>
          <w:szCs w:val="20"/>
        </w:rPr>
      </w:pPr>
      <w:r w:rsidRPr="00C40026">
        <w:rPr>
          <w:rFonts w:ascii="Verdana" w:hAnsi="Verdana"/>
          <w:sz w:val="20"/>
        </w:rPr>
        <w:t>Montreal Cognitive Assessment</w:t>
      </w:r>
    </w:p>
    <w:p w14:paraId="564EECDB" w14:textId="77777777" w:rsidR="002F010D" w:rsidRPr="00C40026" w:rsidRDefault="001158D9" w:rsidP="007A7FB2">
      <w:pPr>
        <w:spacing w:after="160" w:line="259" w:lineRule="auto"/>
        <w:jc w:val="both"/>
        <w:rPr>
          <w:rFonts w:ascii="Verdana" w:hAnsi="Verdana" w:cs="Arial"/>
          <w:sz w:val="20"/>
          <w:szCs w:val="20"/>
        </w:rPr>
      </w:pPr>
      <w:r w:rsidRPr="00C40026">
        <w:rPr>
          <w:rFonts w:ascii="Verdana" w:hAnsi="Verdana"/>
          <w:sz w:val="20"/>
        </w:rPr>
        <w:br/>
        <w:t xml:space="preserve">Le suivi interdisciplinaire est assuré par des neurochirurgiens fonctionnels, des neurologues, des radiologues et des spécialistes en médecine interne. </w:t>
      </w:r>
      <w:r w:rsidRPr="00C40026">
        <w:rPr>
          <w:rFonts w:ascii="Verdana" w:hAnsi="Verdana" w:cs="Arial"/>
          <w:sz w:val="20"/>
        </w:rPr>
        <w:t>Le neurochirurgien responsable prend en charge les éventuelles complications de la thérapie MRgFUS et a, si nécessaire, la possibilité d'avoir accès rapidement à un lit d'hôpital et aux installations opératoires.</w:t>
      </w:r>
    </w:p>
    <w:p w14:paraId="2CE16CA5" w14:textId="77777777" w:rsidR="002F010D" w:rsidRPr="00C40026" w:rsidRDefault="009059DB" w:rsidP="007A7FB2">
      <w:pPr>
        <w:spacing w:after="160" w:line="259" w:lineRule="auto"/>
        <w:jc w:val="both"/>
        <w:rPr>
          <w:rFonts w:ascii="Verdana" w:hAnsi="Verdana" w:cs="Arial"/>
          <w:sz w:val="20"/>
          <w:szCs w:val="20"/>
        </w:rPr>
      </w:pPr>
      <w:r w:rsidRPr="00C40026">
        <w:rPr>
          <w:rFonts w:ascii="Verdana" w:hAnsi="Verdana" w:cs="Arial"/>
          <w:sz w:val="20"/>
        </w:rPr>
        <w:t>Conformément au registre d'évaluation, des contrôles de suivi ont lieu au moins deux jours, trois mois, un an et trois ans après l'intervention.</w:t>
      </w:r>
    </w:p>
    <w:p w14:paraId="5F11BCAC" w14:textId="77777777" w:rsidR="000E34CF" w:rsidRPr="00C40026" w:rsidRDefault="000E34CF" w:rsidP="007A7FB2">
      <w:pPr>
        <w:spacing w:after="160" w:line="259" w:lineRule="auto"/>
        <w:jc w:val="both"/>
        <w:rPr>
          <w:rFonts w:ascii="Verdana" w:hAnsi="Verdana"/>
          <w:sz w:val="20"/>
          <w:szCs w:val="20"/>
        </w:rPr>
      </w:pPr>
    </w:p>
    <w:p w14:paraId="467FFE4E" w14:textId="77777777" w:rsidR="00032704" w:rsidRPr="00C40026" w:rsidRDefault="00546826" w:rsidP="007A7FB2">
      <w:pPr>
        <w:spacing w:after="160" w:line="259" w:lineRule="auto"/>
        <w:jc w:val="both"/>
        <w:rPr>
          <w:rFonts w:ascii="Verdana" w:hAnsi="Verdana"/>
          <w:sz w:val="20"/>
          <w:szCs w:val="20"/>
        </w:rPr>
      </w:pPr>
      <w:r w:rsidRPr="00C40026">
        <w:rPr>
          <w:rFonts w:ascii="Verdana" w:hAnsi="Verdana"/>
          <w:sz w:val="20"/>
        </w:rPr>
        <w:lastRenderedPageBreak/>
        <w:t xml:space="preserve">La thalamotomie centrale latérale, une forme de la thalamotomie médiale, est répertoriée depuis des années et jusqu'à ce jour dans le catalogue des options de traitement internationalement reconnues. Durant des années, la thalamotomie a été pratiquée au moyen d'une sonde de pénétration et par radiofréquence thermocoagulation et a été remboursée par les caisses-maladie et les assurances-accidents. </w:t>
      </w:r>
    </w:p>
    <w:p w14:paraId="374BDEC9" w14:textId="77777777" w:rsidR="00D12B2D" w:rsidRPr="00C40026" w:rsidRDefault="00546826" w:rsidP="007A7FB2">
      <w:pPr>
        <w:spacing w:after="160" w:line="259" w:lineRule="auto"/>
        <w:jc w:val="both"/>
        <w:rPr>
          <w:rFonts w:ascii="Verdana" w:hAnsi="Verdana"/>
          <w:sz w:val="20"/>
          <w:szCs w:val="20"/>
        </w:rPr>
      </w:pPr>
      <w:r w:rsidRPr="00C40026">
        <w:rPr>
          <w:rFonts w:ascii="Verdana" w:hAnsi="Verdana"/>
          <w:sz w:val="20"/>
        </w:rPr>
        <w:t>La technologie non incisive par ultrasons focalisés guidés par IRM est réalisée sans pénétration intracrânienne. Ce qui supprime tout risque d'infection et de saignement dans la zone de 8 à 9 centimètres jusqu'au point focal et réduit de manière signif</w:t>
      </w:r>
      <w:r w:rsidR="00410D74">
        <w:rPr>
          <w:rFonts w:ascii="Verdana" w:hAnsi="Verdana"/>
          <w:sz w:val="20"/>
        </w:rPr>
        <w:t>icative le risque de saignement</w:t>
      </w:r>
      <w:r w:rsidR="00410D74">
        <w:rPr>
          <w:rFonts w:ascii="Verdana" w:hAnsi="Verdana"/>
          <w:sz w:val="20"/>
        </w:rPr>
        <w:br/>
      </w:r>
      <w:r w:rsidRPr="00C40026">
        <w:rPr>
          <w:rFonts w:ascii="Verdana" w:hAnsi="Verdana"/>
          <w:sz w:val="20"/>
        </w:rPr>
        <w:t>subsistant dans la seule zone d'un millimètre carré du point focal. De plus, l'interaction entre les technologies de la résonance magnétique et des ultrasons permet un contrôle en temps réel du traitement thermique thérapeutique, ce qui exclut toute erreur de positionnement de la lésion thérapeutique hors du point focal. La précision de ciblag</w:t>
      </w:r>
      <w:r w:rsidR="00410D74">
        <w:rPr>
          <w:rFonts w:ascii="Verdana" w:hAnsi="Verdana"/>
          <w:sz w:val="20"/>
        </w:rPr>
        <w:t>e de cette technologie est d'un</w:t>
      </w:r>
      <w:r w:rsidR="00410D74">
        <w:rPr>
          <w:rFonts w:ascii="Verdana" w:hAnsi="Verdana"/>
          <w:sz w:val="20"/>
        </w:rPr>
        <w:br/>
      </w:r>
      <w:r w:rsidRPr="00C40026">
        <w:rPr>
          <w:rFonts w:ascii="Verdana" w:hAnsi="Verdana"/>
          <w:sz w:val="20"/>
        </w:rPr>
        <w:t xml:space="preserve">demi-millimètre, et aucun saignement ne s'est produit lors des quelque 200 lésions thermiques réalisées.  </w:t>
      </w:r>
    </w:p>
    <w:p w14:paraId="74AEA6CC" w14:textId="77777777" w:rsidR="00D12B2D" w:rsidRPr="00C40026" w:rsidRDefault="00D12B2D" w:rsidP="007A7FB2">
      <w:pPr>
        <w:spacing w:after="160" w:line="259" w:lineRule="auto"/>
        <w:rPr>
          <w:rFonts w:ascii="Verdana" w:hAnsi="Verdana"/>
          <w:sz w:val="20"/>
          <w:szCs w:val="20"/>
        </w:rPr>
      </w:pPr>
    </w:p>
    <w:p w14:paraId="6B41E1E2" w14:textId="77777777" w:rsidR="001158D9" w:rsidRPr="00C40026" w:rsidRDefault="0076758E" w:rsidP="007A7FB2">
      <w:pPr>
        <w:spacing w:after="160" w:line="259" w:lineRule="auto"/>
        <w:rPr>
          <w:rFonts w:ascii="Verdana" w:hAnsi="Verdana" w:cs="Arial"/>
          <w:sz w:val="20"/>
          <w:szCs w:val="20"/>
        </w:rPr>
      </w:pPr>
      <w:r w:rsidRPr="00C40026">
        <w:rPr>
          <w:rFonts w:ascii="Verdana" w:hAnsi="Verdana" w:cs="Arial"/>
          <w:sz w:val="20"/>
        </w:rPr>
        <w:t>La rémunération de l'intervention repose sur la tarification suivante (cocher ce qui convient</w:t>
      </w:r>
      <w:r w:rsidR="00410D74" w:rsidRPr="00C40026">
        <w:rPr>
          <w:rFonts w:ascii="Verdana" w:hAnsi="Verdana" w:cs="Arial"/>
          <w:sz w:val="20"/>
        </w:rPr>
        <w:t>) :</w:t>
      </w:r>
      <w:r w:rsidRPr="00C40026">
        <w:rPr>
          <w:rFonts w:ascii="Verdana" w:hAnsi="Verdana" w:cs="Arial"/>
          <w:sz w:val="20"/>
        </w:rPr>
        <w:tab/>
      </w:r>
    </w:p>
    <w:tbl>
      <w:tblPr>
        <w:tblStyle w:val="Tabellenraster"/>
        <w:tblW w:w="0" w:type="auto"/>
        <w:tblInd w:w="108" w:type="dxa"/>
        <w:tblLook w:val="04A0" w:firstRow="1" w:lastRow="0" w:firstColumn="1" w:lastColumn="0" w:noHBand="0" w:noVBand="1"/>
      </w:tblPr>
      <w:tblGrid>
        <w:gridCol w:w="709"/>
        <w:gridCol w:w="9244"/>
      </w:tblGrid>
      <w:tr w:rsidR="001158D9" w:rsidRPr="00C40026" w14:paraId="5DD4B4A6" w14:textId="77777777" w:rsidTr="00503515">
        <w:trPr>
          <w:trHeight w:val="994"/>
        </w:trPr>
        <w:tc>
          <w:tcPr>
            <w:tcW w:w="709" w:type="dxa"/>
            <w:vAlign w:val="center"/>
          </w:tcPr>
          <w:p w14:paraId="59838C04" w14:textId="77777777" w:rsidR="001158D9" w:rsidRPr="00C40026" w:rsidRDefault="00503515" w:rsidP="00503515">
            <w:pPr>
              <w:spacing w:line="259" w:lineRule="auto"/>
              <w:jc w:val="center"/>
              <w:rPr>
                <w:rFonts w:ascii="Verdana" w:hAnsi="Verdana" w:cs="Arial"/>
                <w:b/>
                <w:sz w:val="26"/>
                <w:szCs w:val="26"/>
              </w:rPr>
            </w:pPr>
            <w:r w:rsidRPr="00C40026">
              <w:rPr>
                <w:rFonts w:ascii="Verdana" w:hAnsi="Verdana"/>
                <w:b/>
                <w:sz w:val="26"/>
              </w:rPr>
              <w:fldChar w:fldCharType="begin">
                <w:ffData>
                  <w:name w:val="Kontrollkästchen1"/>
                  <w:enabled/>
                  <w:calcOnExit w:val="0"/>
                  <w:checkBox>
                    <w:sizeAuto/>
                    <w:default w:val="0"/>
                  </w:checkBox>
                </w:ffData>
              </w:fldChar>
            </w:r>
            <w:r w:rsidRPr="00C40026">
              <w:rPr>
                <w:rFonts w:ascii="Verdana" w:hAnsi="Verdana"/>
                <w:b/>
                <w:sz w:val="26"/>
              </w:rPr>
              <w:instrText xml:space="preserve"> FORMCHECKBOX </w:instrText>
            </w:r>
            <w:r w:rsidR="00E36192">
              <w:rPr>
                <w:rFonts w:ascii="Verdana" w:hAnsi="Verdana"/>
                <w:b/>
                <w:sz w:val="26"/>
              </w:rPr>
            </w:r>
            <w:r w:rsidR="00E36192">
              <w:rPr>
                <w:rFonts w:ascii="Verdana" w:hAnsi="Verdana"/>
                <w:b/>
                <w:sz w:val="26"/>
              </w:rPr>
              <w:fldChar w:fldCharType="separate"/>
            </w:r>
            <w:r w:rsidRPr="00C40026">
              <w:rPr>
                <w:rFonts w:ascii="Verdana" w:hAnsi="Verdana"/>
                <w:b/>
                <w:sz w:val="26"/>
              </w:rPr>
              <w:fldChar w:fldCharType="end"/>
            </w:r>
          </w:p>
        </w:tc>
        <w:tc>
          <w:tcPr>
            <w:tcW w:w="9244" w:type="dxa"/>
            <w:vAlign w:val="center"/>
          </w:tcPr>
          <w:p w14:paraId="269F6B78" w14:textId="77777777" w:rsidR="001158D9" w:rsidRPr="00C40026" w:rsidRDefault="001158D9" w:rsidP="00503515">
            <w:pPr>
              <w:spacing w:line="259" w:lineRule="auto"/>
              <w:rPr>
                <w:rFonts w:ascii="Verdana" w:hAnsi="Verdana"/>
                <w:sz w:val="20"/>
                <w:szCs w:val="20"/>
              </w:rPr>
            </w:pPr>
            <w:r w:rsidRPr="00C40026">
              <w:rPr>
                <w:rFonts w:ascii="Verdana" w:hAnsi="Verdana" w:cs="Arial"/>
                <w:b/>
                <w:sz w:val="20"/>
              </w:rPr>
              <w:t>Forfait par cas pour le traitement stationnaire</w:t>
            </w:r>
            <w:r w:rsidR="007D4605">
              <w:rPr>
                <w:rFonts w:ascii="Verdana" w:hAnsi="Verdana" w:cs="Arial"/>
                <w:b/>
                <w:sz w:val="20"/>
              </w:rPr>
              <w:t xml:space="preserve"> </w:t>
            </w:r>
            <w:r w:rsidRPr="00C40026">
              <w:rPr>
                <w:rFonts w:ascii="Verdana" w:hAnsi="Verdana" w:cs="Arial"/>
                <w:sz w:val="20"/>
              </w:rPr>
              <w:t xml:space="preserve">: </w:t>
            </w:r>
            <w:r w:rsidRPr="00C40026">
              <w:rPr>
                <w:rFonts w:ascii="Verdana" w:hAnsi="Verdana"/>
                <w:sz w:val="20"/>
              </w:rPr>
              <w:t>selon SwissDRG</w:t>
            </w:r>
          </w:p>
          <w:p w14:paraId="4CEA914A" w14:textId="77777777" w:rsidR="00503515" w:rsidRPr="00C40026" w:rsidRDefault="00503515" w:rsidP="004C0067">
            <w:pPr>
              <w:spacing w:line="259" w:lineRule="auto"/>
              <w:rPr>
                <w:rFonts w:ascii="Verdana" w:hAnsi="Verdana" w:cs="Arial"/>
                <w:sz w:val="20"/>
                <w:szCs w:val="20"/>
              </w:rPr>
            </w:pPr>
            <w:r w:rsidRPr="00C40026">
              <w:rPr>
                <w:rFonts w:ascii="Verdana" w:hAnsi="Verdana"/>
                <w:sz w:val="20"/>
              </w:rPr>
              <w:t>(regroupement n° B20C, tcMRgFUS, code CHOP 00.99.32</w:t>
            </w:r>
            <w:r w:rsidRPr="00C40026">
              <w:rPr>
                <w:rFonts w:ascii="Verdana" w:hAnsi="Verdana" w:cs="Arial"/>
                <w:sz w:val="20"/>
              </w:rPr>
              <w:t>)</w:t>
            </w:r>
          </w:p>
        </w:tc>
      </w:tr>
    </w:tbl>
    <w:p w14:paraId="44232C4E" w14:textId="77777777" w:rsidR="00503515" w:rsidRPr="00C40026" w:rsidRDefault="00503515" w:rsidP="00503515">
      <w:pPr>
        <w:spacing w:after="160" w:line="259" w:lineRule="auto"/>
        <w:rPr>
          <w:rFonts w:ascii="Verdana" w:hAnsi="Verdana" w:cs="Arial"/>
          <w:sz w:val="20"/>
          <w:szCs w:val="20"/>
        </w:rPr>
      </w:pPr>
    </w:p>
    <w:p w14:paraId="14678AAC" w14:textId="77777777" w:rsidR="0076758E" w:rsidRPr="00C40026" w:rsidRDefault="008A3F43" w:rsidP="00503515">
      <w:pPr>
        <w:spacing w:after="160" w:line="259" w:lineRule="auto"/>
        <w:ind w:firstLine="709"/>
        <w:rPr>
          <w:rFonts w:ascii="Verdana" w:hAnsi="Verdana" w:cs="Arial"/>
          <w:sz w:val="20"/>
          <w:szCs w:val="20"/>
        </w:rPr>
      </w:pPr>
      <w:r w:rsidRPr="00C40026">
        <w:rPr>
          <w:rFonts w:ascii="Verdana" w:hAnsi="Verdana" w:cs="Arial"/>
          <w:sz w:val="20"/>
        </w:rPr>
        <w:t>ou</w:t>
      </w:r>
      <w:r w:rsidR="007D4605">
        <w:rPr>
          <w:rFonts w:ascii="Verdana" w:hAnsi="Verdana" w:cs="Arial"/>
          <w:sz w:val="20"/>
        </w:rPr>
        <w:t xml:space="preserve"> </w:t>
      </w:r>
      <w:r w:rsidRPr="00C40026">
        <w:rPr>
          <w:rFonts w:ascii="Verdana" w:hAnsi="Verdana" w:cs="Arial"/>
          <w:sz w:val="20"/>
        </w:rPr>
        <w:t xml:space="preserve">: </w:t>
      </w:r>
    </w:p>
    <w:tbl>
      <w:tblPr>
        <w:tblStyle w:val="Tabellenraster"/>
        <w:tblW w:w="0" w:type="auto"/>
        <w:tblInd w:w="108" w:type="dxa"/>
        <w:tblLook w:val="04A0" w:firstRow="1" w:lastRow="0" w:firstColumn="1" w:lastColumn="0" w:noHBand="0" w:noVBand="1"/>
      </w:tblPr>
      <w:tblGrid>
        <w:gridCol w:w="709"/>
        <w:gridCol w:w="9244"/>
      </w:tblGrid>
      <w:tr w:rsidR="00503515" w:rsidRPr="00C40026" w14:paraId="15FFCEA6" w14:textId="77777777" w:rsidTr="008F6427">
        <w:trPr>
          <w:trHeight w:val="994"/>
        </w:trPr>
        <w:tc>
          <w:tcPr>
            <w:tcW w:w="709" w:type="dxa"/>
            <w:tcBorders>
              <w:bottom w:val="single" w:sz="4" w:space="0" w:color="auto"/>
            </w:tcBorders>
            <w:vAlign w:val="center"/>
          </w:tcPr>
          <w:p w14:paraId="633FB642" w14:textId="77777777" w:rsidR="00503515" w:rsidRPr="00C40026" w:rsidRDefault="00503515" w:rsidP="00D37797">
            <w:pPr>
              <w:spacing w:line="259" w:lineRule="auto"/>
              <w:jc w:val="center"/>
              <w:rPr>
                <w:rFonts w:ascii="Verdana" w:hAnsi="Verdana" w:cs="Arial"/>
                <w:b/>
                <w:sz w:val="26"/>
                <w:szCs w:val="26"/>
              </w:rPr>
            </w:pPr>
            <w:r w:rsidRPr="00C40026">
              <w:rPr>
                <w:rFonts w:ascii="Verdana" w:hAnsi="Verdana"/>
                <w:b/>
                <w:sz w:val="26"/>
              </w:rPr>
              <w:fldChar w:fldCharType="begin">
                <w:ffData>
                  <w:name w:val="Kontrollkästchen1"/>
                  <w:enabled/>
                  <w:calcOnExit w:val="0"/>
                  <w:checkBox>
                    <w:sizeAuto/>
                    <w:default w:val="0"/>
                  </w:checkBox>
                </w:ffData>
              </w:fldChar>
            </w:r>
            <w:r w:rsidRPr="00C40026">
              <w:rPr>
                <w:rFonts w:ascii="Verdana" w:hAnsi="Verdana"/>
                <w:b/>
                <w:sz w:val="26"/>
              </w:rPr>
              <w:instrText xml:space="preserve"> FORMCHECKBOX </w:instrText>
            </w:r>
            <w:r w:rsidR="00E36192">
              <w:rPr>
                <w:rFonts w:ascii="Verdana" w:hAnsi="Verdana"/>
                <w:b/>
                <w:sz w:val="26"/>
              </w:rPr>
            </w:r>
            <w:r w:rsidR="00E36192">
              <w:rPr>
                <w:rFonts w:ascii="Verdana" w:hAnsi="Verdana"/>
                <w:b/>
                <w:sz w:val="26"/>
              </w:rPr>
              <w:fldChar w:fldCharType="separate"/>
            </w:r>
            <w:r w:rsidRPr="00C40026">
              <w:rPr>
                <w:rFonts w:ascii="Verdana" w:hAnsi="Verdana"/>
                <w:b/>
                <w:sz w:val="26"/>
              </w:rPr>
              <w:fldChar w:fldCharType="end"/>
            </w:r>
          </w:p>
        </w:tc>
        <w:tc>
          <w:tcPr>
            <w:tcW w:w="9244" w:type="dxa"/>
            <w:tcBorders>
              <w:bottom w:val="single" w:sz="4" w:space="0" w:color="auto"/>
            </w:tcBorders>
            <w:vAlign w:val="center"/>
          </w:tcPr>
          <w:p w14:paraId="1E3FF0A6" w14:textId="77777777" w:rsidR="00503515" w:rsidRPr="00C40026" w:rsidRDefault="00503515" w:rsidP="0023312E">
            <w:pPr>
              <w:spacing w:line="259" w:lineRule="auto"/>
              <w:rPr>
                <w:rFonts w:ascii="Verdana" w:hAnsi="Verdana" w:cs="Arial"/>
                <w:sz w:val="20"/>
                <w:szCs w:val="20"/>
              </w:rPr>
            </w:pPr>
            <w:r w:rsidRPr="00C40026">
              <w:rPr>
                <w:rFonts w:ascii="Verdana" w:hAnsi="Verdana" w:cs="Arial"/>
                <w:b/>
                <w:sz w:val="20"/>
              </w:rPr>
              <w:t>Forfait par cas pour le traitement ambulatoire*</w:t>
            </w:r>
            <w:r w:rsidR="007D4605">
              <w:rPr>
                <w:rFonts w:ascii="Verdana" w:hAnsi="Verdana" w:cs="Arial"/>
                <w:b/>
                <w:sz w:val="20"/>
              </w:rPr>
              <w:t xml:space="preserve"> </w:t>
            </w:r>
            <w:r w:rsidR="00410D74" w:rsidRPr="00C40026">
              <w:rPr>
                <w:rFonts w:ascii="Verdana" w:hAnsi="Verdana" w:cs="Arial"/>
                <w:sz w:val="20"/>
              </w:rPr>
              <w:t xml:space="preserve">: </w:t>
            </w:r>
            <w:r w:rsidRPr="00C40026">
              <w:rPr>
                <w:rFonts w:ascii="Verdana" w:hAnsi="Verdana" w:cs="Arial"/>
                <w:sz w:val="20"/>
              </w:rPr>
              <w:br/>
              <w:t xml:space="preserve">code tarifaire </w:t>
            </w:r>
            <w:r w:rsidRPr="00C40026">
              <w:rPr>
                <w:rFonts w:ascii="Verdana" w:hAnsi="Verdana" w:cs="Arial"/>
                <w:b/>
                <w:sz w:val="20"/>
              </w:rPr>
              <w:t>003</w:t>
            </w:r>
            <w:r w:rsidRPr="00C40026">
              <w:rPr>
                <w:rFonts w:ascii="Verdana" w:hAnsi="Verdana" w:cs="Arial"/>
                <w:sz w:val="20"/>
              </w:rPr>
              <w:t xml:space="preserve">, chiffre tarifaire n° </w:t>
            </w:r>
            <w:r w:rsidRPr="00C40026">
              <w:rPr>
                <w:rFonts w:ascii="Verdana" w:hAnsi="Verdana"/>
                <w:b/>
                <w:sz w:val="20"/>
              </w:rPr>
              <w:t>05.1600.00.00</w:t>
            </w:r>
            <w:r w:rsidRPr="00C40026">
              <w:rPr>
                <w:rFonts w:ascii="Verdana" w:hAnsi="Verdana" w:cs="Arial"/>
                <w:sz w:val="20"/>
              </w:rPr>
              <w:t xml:space="preserve">, rémunération </w:t>
            </w:r>
            <w:r w:rsidRPr="00C40026">
              <w:rPr>
                <w:rFonts w:ascii="Verdana" w:hAnsi="Verdana" w:cs="Arial"/>
                <w:b/>
                <w:sz w:val="20"/>
              </w:rPr>
              <w:t>CHF 22 895.–</w:t>
            </w:r>
          </w:p>
        </w:tc>
      </w:tr>
      <w:tr w:rsidR="008F6427" w:rsidRPr="00C40026" w14:paraId="5C02997B" w14:textId="77777777" w:rsidTr="00AB7075">
        <w:trPr>
          <w:trHeight w:val="2113"/>
        </w:trPr>
        <w:tc>
          <w:tcPr>
            <w:tcW w:w="709" w:type="dxa"/>
            <w:tcBorders>
              <w:top w:val="single" w:sz="4" w:space="0" w:color="auto"/>
              <w:left w:val="nil"/>
              <w:bottom w:val="nil"/>
              <w:right w:val="nil"/>
            </w:tcBorders>
          </w:tcPr>
          <w:p w14:paraId="11A76E94" w14:textId="77777777" w:rsidR="008F6427" w:rsidRPr="00C40026" w:rsidRDefault="008F6427" w:rsidP="008F6427">
            <w:pPr>
              <w:spacing w:before="120" w:line="259" w:lineRule="auto"/>
              <w:jc w:val="right"/>
              <w:rPr>
                <w:rFonts w:ascii="Verdana" w:hAnsi="Verdana"/>
                <w:sz w:val="22"/>
              </w:rPr>
            </w:pPr>
            <w:r w:rsidRPr="00C40026">
              <w:rPr>
                <w:rFonts w:ascii="Verdana" w:hAnsi="Verdana" w:cs="Arial"/>
                <w:b/>
                <w:sz w:val="20"/>
              </w:rPr>
              <w:t>*</w:t>
            </w:r>
          </w:p>
        </w:tc>
        <w:tc>
          <w:tcPr>
            <w:tcW w:w="9244" w:type="dxa"/>
            <w:tcBorders>
              <w:top w:val="single" w:sz="4" w:space="0" w:color="auto"/>
              <w:left w:val="nil"/>
              <w:bottom w:val="nil"/>
              <w:right w:val="nil"/>
            </w:tcBorders>
          </w:tcPr>
          <w:p w14:paraId="5F49E70D" w14:textId="77777777" w:rsidR="008F6427" w:rsidRPr="00C40026" w:rsidRDefault="008F6427" w:rsidP="008F6427">
            <w:pPr>
              <w:spacing w:before="120" w:line="259" w:lineRule="auto"/>
              <w:jc w:val="both"/>
              <w:rPr>
                <w:rFonts w:ascii="Verdana" w:hAnsi="Verdana"/>
                <w:sz w:val="20"/>
                <w:szCs w:val="20"/>
                <w:u w:val="single"/>
              </w:rPr>
            </w:pPr>
            <w:r w:rsidRPr="00C40026">
              <w:rPr>
                <w:rFonts w:ascii="Verdana" w:hAnsi="Verdana"/>
                <w:sz w:val="20"/>
              </w:rPr>
              <w:t xml:space="preserve">Le forfait pour le traitement ambulatoire </w:t>
            </w:r>
            <w:r w:rsidRPr="00C40026">
              <w:rPr>
                <w:rFonts w:ascii="Verdana" w:hAnsi="Verdana"/>
                <w:b/>
                <w:sz w:val="20"/>
              </w:rPr>
              <w:t xml:space="preserve">comprend </w:t>
            </w:r>
            <w:r w:rsidRPr="00C40026">
              <w:rPr>
                <w:rFonts w:ascii="Verdana" w:hAnsi="Verdana"/>
                <w:sz w:val="20"/>
                <w:u w:val="single"/>
              </w:rPr>
              <w:t xml:space="preserve">l'indemnisation de </w:t>
            </w:r>
            <w:r w:rsidRPr="00C40026">
              <w:rPr>
                <w:rFonts w:ascii="Verdana" w:hAnsi="Verdana"/>
                <w:b/>
                <w:sz w:val="20"/>
                <w:u w:val="single"/>
              </w:rPr>
              <w:t>l'ensemble</w:t>
            </w:r>
            <w:r w:rsidR="00024E1E">
              <w:rPr>
                <w:rFonts w:ascii="Verdana" w:hAnsi="Verdana"/>
                <w:sz w:val="20"/>
                <w:u w:val="single"/>
              </w:rPr>
              <w:br/>
            </w:r>
            <w:r w:rsidRPr="00C40026">
              <w:rPr>
                <w:rFonts w:ascii="Verdana" w:hAnsi="Verdana"/>
                <w:sz w:val="20"/>
                <w:u w:val="single"/>
              </w:rPr>
              <w:t>des prestations préopératoires et postopératoires</w:t>
            </w:r>
            <w:r w:rsidRPr="00C40026">
              <w:rPr>
                <w:rFonts w:ascii="Verdana" w:hAnsi="Verdana"/>
                <w:sz w:val="20"/>
              </w:rPr>
              <w:t xml:space="preserve"> </w:t>
            </w:r>
            <w:r w:rsidR="00024E1E">
              <w:rPr>
                <w:rFonts w:ascii="Verdana" w:hAnsi="Verdana"/>
                <w:sz w:val="20"/>
              </w:rPr>
              <w:t>(mesures médicales, de soins et</w:t>
            </w:r>
            <w:r w:rsidR="00024E1E">
              <w:rPr>
                <w:rFonts w:ascii="Verdana" w:hAnsi="Verdana"/>
                <w:sz w:val="20"/>
              </w:rPr>
              <w:br/>
            </w:r>
            <w:r w:rsidRPr="00C40026">
              <w:rPr>
                <w:rFonts w:ascii="Verdana" w:hAnsi="Verdana"/>
                <w:sz w:val="20"/>
              </w:rPr>
              <w:t xml:space="preserve">administratives, consultations, etc. en relation avec </w:t>
            </w:r>
            <w:r w:rsidRPr="00C40026">
              <w:rPr>
                <w:rFonts w:ascii="Verdana" w:hAnsi="Verdana"/>
                <w:sz w:val="20"/>
                <w:u w:val="single"/>
              </w:rPr>
              <w:t>l'intervention chirurgicale</w:t>
            </w:r>
            <w:r w:rsidRPr="00C40026">
              <w:rPr>
                <w:rFonts w:ascii="Verdana" w:hAnsi="Verdana"/>
                <w:sz w:val="20"/>
              </w:rPr>
              <w:t xml:space="preserve">), ainsi que </w:t>
            </w:r>
            <w:r w:rsidRPr="00C40026">
              <w:rPr>
                <w:rFonts w:ascii="Verdana" w:hAnsi="Verdana"/>
                <w:sz w:val="20"/>
                <w:u w:val="single"/>
              </w:rPr>
              <w:t>l'ensemble du matériel et les autres coûts, le cas échéant</w:t>
            </w:r>
            <w:r w:rsidRPr="00C40026">
              <w:rPr>
                <w:rFonts w:ascii="Verdana" w:hAnsi="Verdana"/>
                <w:sz w:val="20"/>
              </w:rPr>
              <w:t>.</w:t>
            </w:r>
          </w:p>
          <w:p w14:paraId="3131BBE9" w14:textId="77777777" w:rsidR="00EB5D6F" w:rsidRPr="00C40026" w:rsidRDefault="004D5043" w:rsidP="00273AF0">
            <w:pPr>
              <w:spacing w:before="120" w:line="259" w:lineRule="auto"/>
              <w:jc w:val="both"/>
              <w:rPr>
                <w:rFonts w:ascii="Verdana" w:hAnsi="Verdana" w:cs="Arial"/>
                <w:b/>
                <w:sz w:val="20"/>
                <w:szCs w:val="20"/>
              </w:rPr>
            </w:pPr>
            <w:r w:rsidRPr="00C40026">
              <w:rPr>
                <w:rFonts w:ascii="Verdana" w:hAnsi="Verdana"/>
                <w:sz w:val="20"/>
              </w:rPr>
              <w:t xml:space="preserve">Conformément à la procédure de garantie de prise en charge, chiffre 3d, les examens interdisciplinaires, neurologiques, neurochirurgicaux et neuroradiologiques ainsi que l'EEG (LORETA) et l'assessment de la douleur peuvent seuls être facturés séparément. </w:t>
            </w:r>
          </w:p>
        </w:tc>
      </w:tr>
    </w:tbl>
    <w:p w14:paraId="6AC6FA98" w14:textId="77777777" w:rsidR="00273AF0" w:rsidRPr="00C40026" w:rsidRDefault="00273AF0" w:rsidP="007A7FB2">
      <w:pPr>
        <w:spacing w:after="160" w:line="259" w:lineRule="auto"/>
        <w:jc w:val="both"/>
        <w:rPr>
          <w:rFonts w:ascii="Verdana" w:hAnsi="Verdana" w:cs="Arial"/>
          <w:sz w:val="20"/>
          <w:szCs w:val="20"/>
        </w:rPr>
      </w:pPr>
    </w:p>
    <w:p w14:paraId="6E887D2C" w14:textId="77777777" w:rsidR="00C71573" w:rsidRPr="00C40026" w:rsidRDefault="00E212EC" w:rsidP="007A7FB2">
      <w:pPr>
        <w:spacing w:after="160" w:line="259" w:lineRule="auto"/>
        <w:jc w:val="both"/>
        <w:rPr>
          <w:rFonts w:ascii="Verdana" w:hAnsi="Verdana" w:cs="Arial"/>
          <w:sz w:val="20"/>
          <w:szCs w:val="20"/>
        </w:rPr>
      </w:pPr>
      <w:r w:rsidRPr="00C40026">
        <w:rPr>
          <w:rFonts w:ascii="Verdana" w:hAnsi="Verdana" w:cs="Arial"/>
          <w:sz w:val="20"/>
        </w:rPr>
        <w:t xml:space="preserve">Nous vous prions de nous faire parvenir, ainsi qu'au patient, une confirmation de prise en charge. </w:t>
      </w:r>
    </w:p>
    <w:p w14:paraId="0536E6D1" w14:textId="77777777" w:rsidR="00306E6D" w:rsidRPr="00C40026" w:rsidRDefault="00503515" w:rsidP="007A7FB2">
      <w:pPr>
        <w:spacing w:after="160" w:line="259" w:lineRule="auto"/>
        <w:rPr>
          <w:rFonts w:ascii="Verdana" w:hAnsi="Verdana"/>
          <w:sz w:val="20"/>
          <w:szCs w:val="20"/>
        </w:rPr>
      </w:pPr>
      <w:r w:rsidRPr="00C40026">
        <w:rPr>
          <w:rFonts w:ascii="Verdana" w:hAnsi="Verdana"/>
          <w:sz w:val="20"/>
        </w:rPr>
        <w:br/>
        <w:t>Nous vous remercions de votre collaboration et vous prions d'agréer, Madame, Monsieur, nos salutations distinguées.</w:t>
      </w:r>
    </w:p>
    <w:p w14:paraId="26418DB5" w14:textId="77777777" w:rsidR="0023312E" w:rsidRPr="00C40026" w:rsidRDefault="0023312E" w:rsidP="007A7FB2">
      <w:pPr>
        <w:spacing w:after="160" w:line="259" w:lineRule="auto"/>
        <w:rPr>
          <w:rFonts w:ascii="Verdana" w:hAnsi="Verdana"/>
          <w:sz w:val="20"/>
          <w:szCs w:val="20"/>
        </w:rPr>
      </w:pPr>
    </w:p>
    <w:p w14:paraId="3BE631EB" w14:textId="77777777" w:rsidR="0094631C" w:rsidRPr="00C40026" w:rsidRDefault="0094631C" w:rsidP="007A7FB2">
      <w:pPr>
        <w:spacing w:after="120" w:line="259" w:lineRule="auto"/>
        <w:rPr>
          <w:rFonts w:ascii="Verdana" w:hAnsi="Verdana"/>
        </w:rPr>
      </w:pPr>
    </w:p>
    <w:p w14:paraId="0915E40F" w14:textId="77777777" w:rsidR="0094631C" w:rsidRPr="00C40026" w:rsidRDefault="0094631C" w:rsidP="007A7FB2">
      <w:pPr>
        <w:spacing w:after="120" w:line="259" w:lineRule="auto"/>
        <w:rPr>
          <w:rFonts w:ascii="Verdana" w:hAnsi="Verdana"/>
        </w:rPr>
      </w:pPr>
    </w:p>
    <w:sectPr w:rsidR="0094631C" w:rsidRPr="00C40026" w:rsidSect="005E28C7">
      <w:headerReference w:type="default" r:id="rId8"/>
      <w:footerReference w:type="default" r:id="rId9"/>
      <w:headerReference w:type="first" r:id="rId10"/>
      <w:footerReference w:type="first" r:id="rId11"/>
      <w:pgSz w:w="11906" w:h="16838"/>
      <w:pgMar w:top="851" w:right="851" w:bottom="851" w:left="1134"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3A6B7B4" w14:textId="77777777" w:rsidR="00782F5F" w:rsidRDefault="00782F5F">
      <w:r>
        <w:separator/>
      </w:r>
    </w:p>
  </w:endnote>
  <w:endnote w:type="continuationSeparator" w:id="0">
    <w:p w14:paraId="7814C1D6" w14:textId="77777777" w:rsidR="00782F5F" w:rsidRDefault="00782F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sto MT">
    <w:altName w:val="Cambria Math"/>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009D2C1" w14:textId="4F377AEA" w:rsidR="00782F5F" w:rsidRPr="00850996" w:rsidRDefault="00FB6616" w:rsidP="00850996">
    <w:pPr>
      <w:pStyle w:val="Fuzeile"/>
      <w:pBdr>
        <w:top w:val="single" w:sz="2" w:space="1" w:color="auto"/>
      </w:pBdr>
      <w:tabs>
        <w:tab w:val="clear" w:pos="9072"/>
        <w:tab w:val="right" w:pos="9921"/>
      </w:tabs>
      <w:rPr>
        <w:rFonts w:ascii="Verdana" w:hAnsi="Verdana" w:cs="Arial"/>
        <w:sz w:val="16"/>
        <w:szCs w:val="16"/>
      </w:rPr>
    </w:pPr>
    <w:r>
      <w:rPr>
        <w:rFonts w:ascii="Verdana" w:hAnsi="Verdana" w:cs="Arial"/>
        <w:sz w:val="16"/>
      </w:rPr>
      <w:fldChar w:fldCharType="begin"/>
    </w:r>
    <w:r>
      <w:rPr>
        <w:rFonts w:ascii="Verdana" w:hAnsi="Verdana" w:cs="Arial"/>
        <w:sz w:val="16"/>
      </w:rPr>
      <w:instrText xml:space="preserve"> FILENAME   \* MERGEFORMAT </w:instrText>
    </w:r>
    <w:r>
      <w:rPr>
        <w:rFonts w:ascii="Verdana" w:hAnsi="Verdana" w:cs="Arial"/>
        <w:sz w:val="16"/>
      </w:rPr>
      <w:fldChar w:fldCharType="separate"/>
    </w:r>
    <w:r>
      <w:rPr>
        <w:rFonts w:ascii="Verdana" w:hAnsi="Verdana" w:cs="Arial"/>
        <w:noProof/>
        <w:sz w:val="16"/>
      </w:rPr>
      <w:t>CTM_Décision_MRgFUS_2016.133.743.04_annexe 1_demande de prise en charge_LAA.docx</w:t>
    </w:r>
    <w:r>
      <w:rPr>
        <w:rFonts w:ascii="Verdana" w:hAnsi="Verdana" w:cs="Arial"/>
        <w:sz w:val="16"/>
      </w:rPr>
      <w:fldChar w:fldCharType="end"/>
    </w:r>
    <w:r w:rsidR="00440E10">
      <w:rPr>
        <w:rFonts w:ascii="Verdana" w:hAnsi="Verdana" w:cs="Arial"/>
        <w:sz w:val="16"/>
      </w:rPr>
      <w:tab/>
      <w:t xml:space="preserve">Page </w:t>
    </w:r>
    <w:r w:rsidR="00C44744" w:rsidRPr="00850996">
      <w:rPr>
        <w:rFonts w:ascii="Verdana" w:hAnsi="Verdana" w:cs="Arial"/>
        <w:sz w:val="16"/>
        <w:szCs w:val="16"/>
        <w:lang w:val="de-DE"/>
      </w:rPr>
      <w:fldChar w:fldCharType="begin"/>
    </w:r>
    <w:r w:rsidR="00782F5F" w:rsidRPr="00FB6616">
      <w:rPr>
        <w:rFonts w:ascii="Verdana" w:hAnsi="Verdana" w:cs="Arial"/>
        <w:sz w:val="16"/>
        <w:szCs w:val="16"/>
      </w:rPr>
      <w:instrText xml:space="preserve"> PAGE </w:instrText>
    </w:r>
    <w:r w:rsidR="00C44744" w:rsidRPr="00850996">
      <w:rPr>
        <w:rFonts w:ascii="Verdana" w:hAnsi="Verdana" w:cs="Arial"/>
        <w:sz w:val="16"/>
        <w:szCs w:val="16"/>
        <w:lang w:val="de-DE"/>
      </w:rPr>
      <w:fldChar w:fldCharType="separate"/>
    </w:r>
    <w:r w:rsidR="00595C56" w:rsidRPr="00FB6616">
      <w:rPr>
        <w:rFonts w:ascii="Verdana" w:hAnsi="Verdana" w:cs="Arial"/>
        <w:noProof/>
        <w:sz w:val="16"/>
        <w:szCs w:val="16"/>
      </w:rPr>
      <w:t>2</w:t>
    </w:r>
    <w:r w:rsidR="00C44744" w:rsidRPr="00850996">
      <w:rPr>
        <w:rFonts w:ascii="Verdana" w:hAnsi="Verdana" w:cs="Arial"/>
        <w:sz w:val="16"/>
        <w:szCs w:val="16"/>
        <w:lang w:val="de-DE"/>
      </w:rPr>
      <w:fldChar w:fldCharType="end"/>
    </w:r>
    <w:r w:rsidR="00440E10">
      <w:rPr>
        <w:rFonts w:ascii="Verdana" w:hAnsi="Verdana" w:cs="Arial"/>
        <w:sz w:val="16"/>
      </w:rPr>
      <w:t xml:space="preserve"> / </w:t>
    </w:r>
    <w:r w:rsidR="00C44744" w:rsidRPr="00850996">
      <w:rPr>
        <w:rFonts w:ascii="Verdana" w:hAnsi="Verdana" w:cs="Arial"/>
        <w:sz w:val="16"/>
        <w:szCs w:val="16"/>
        <w:lang w:val="de-DE"/>
      </w:rPr>
      <w:fldChar w:fldCharType="begin"/>
    </w:r>
    <w:r w:rsidR="00782F5F" w:rsidRPr="00FB6616">
      <w:rPr>
        <w:rFonts w:ascii="Verdana" w:hAnsi="Verdana" w:cs="Arial"/>
        <w:sz w:val="16"/>
        <w:szCs w:val="16"/>
      </w:rPr>
      <w:instrText xml:space="preserve"> NUMPAGES </w:instrText>
    </w:r>
    <w:r w:rsidR="00C44744" w:rsidRPr="00850996">
      <w:rPr>
        <w:rFonts w:ascii="Verdana" w:hAnsi="Verdana" w:cs="Arial"/>
        <w:sz w:val="16"/>
        <w:szCs w:val="16"/>
        <w:lang w:val="de-DE"/>
      </w:rPr>
      <w:fldChar w:fldCharType="separate"/>
    </w:r>
    <w:r w:rsidR="00595C56" w:rsidRPr="00FB6616">
      <w:rPr>
        <w:rFonts w:ascii="Verdana" w:hAnsi="Verdana" w:cs="Arial"/>
        <w:noProof/>
        <w:sz w:val="16"/>
        <w:szCs w:val="16"/>
      </w:rPr>
      <w:t>2</w:t>
    </w:r>
    <w:r w:rsidR="00C44744" w:rsidRPr="00850996">
      <w:rPr>
        <w:rFonts w:ascii="Verdana" w:hAnsi="Verdana" w:cs="Arial"/>
        <w:sz w:val="16"/>
        <w:szCs w:val="16"/>
        <w:lang w:val="de-DE"/>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DE7BC2E" w14:textId="1121E352" w:rsidR="00850996" w:rsidRPr="00D45034" w:rsidRDefault="00FB6616" w:rsidP="00850996">
    <w:pPr>
      <w:pStyle w:val="Fuzeile"/>
      <w:tabs>
        <w:tab w:val="clear" w:pos="9072"/>
        <w:tab w:val="right" w:pos="9921"/>
      </w:tabs>
      <w:rPr>
        <w:rFonts w:ascii="Verdana" w:hAnsi="Verdana"/>
        <w:sz w:val="16"/>
      </w:rPr>
    </w:pPr>
    <w:r>
      <w:rPr>
        <w:rFonts w:ascii="Verdana" w:hAnsi="Verdana"/>
        <w:sz w:val="16"/>
      </w:rPr>
      <w:fldChar w:fldCharType="begin"/>
    </w:r>
    <w:r>
      <w:rPr>
        <w:rFonts w:ascii="Verdana" w:hAnsi="Verdana"/>
        <w:sz w:val="16"/>
      </w:rPr>
      <w:instrText xml:space="preserve"> FILENAME   \* MERGEFORMAT </w:instrText>
    </w:r>
    <w:r>
      <w:rPr>
        <w:rFonts w:ascii="Verdana" w:hAnsi="Verdana"/>
        <w:sz w:val="16"/>
      </w:rPr>
      <w:fldChar w:fldCharType="separate"/>
    </w:r>
    <w:r>
      <w:rPr>
        <w:rFonts w:ascii="Verdana" w:hAnsi="Verdana"/>
        <w:noProof/>
        <w:sz w:val="16"/>
      </w:rPr>
      <w:t>CTM_Décision_MRgFUS_2016.133.743.04_annexe 1_demande de prise en charge_LAA.docx</w:t>
    </w:r>
    <w:r>
      <w:rPr>
        <w:rFonts w:ascii="Verdana" w:hAnsi="Verdana"/>
        <w:sz w:val="16"/>
      </w:rPr>
      <w:fldChar w:fldCharType="end"/>
    </w:r>
    <w:r>
      <w:rPr>
        <w:rFonts w:ascii="Verdana" w:hAnsi="Verdana"/>
        <w:sz w:val="16"/>
      </w:rPr>
      <w:tab/>
    </w:r>
    <w:r w:rsidR="00850996" w:rsidRPr="00D45034">
      <w:rPr>
        <w:rFonts w:ascii="Verdana" w:hAnsi="Verdana"/>
        <w:sz w:val="16"/>
      </w:rPr>
      <w:t xml:space="preserve">Page </w:t>
    </w:r>
    <w:r w:rsidR="00850996">
      <w:rPr>
        <w:rFonts w:ascii="Verdana" w:hAnsi="Verdana"/>
        <w:sz w:val="16"/>
      </w:rPr>
      <w:fldChar w:fldCharType="begin"/>
    </w:r>
    <w:r w:rsidR="00850996" w:rsidRPr="00D45034">
      <w:rPr>
        <w:rFonts w:ascii="Verdana" w:hAnsi="Verdana"/>
        <w:sz w:val="16"/>
      </w:rPr>
      <w:instrText xml:space="preserve"> PAGE   \* MERGEFORMAT </w:instrText>
    </w:r>
    <w:r w:rsidR="00850996">
      <w:rPr>
        <w:rFonts w:ascii="Verdana" w:hAnsi="Verdana"/>
        <w:sz w:val="16"/>
      </w:rPr>
      <w:fldChar w:fldCharType="separate"/>
    </w:r>
    <w:r w:rsidR="00595C56" w:rsidRPr="00D45034">
      <w:rPr>
        <w:rFonts w:ascii="Verdana" w:hAnsi="Verdana"/>
        <w:noProof/>
        <w:sz w:val="16"/>
      </w:rPr>
      <w:t>1</w:t>
    </w:r>
    <w:r w:rsidR="00850996">
      <w:rPr>
        <w:rFonts w:ascii="Verdana" w:hAnsi="Verdana"/>
        <w:sz w:val="16"/>
      </w:rPr>
      <w:fldChar w:fldCharType="end"/>
    </w:r>
    <w:r w:rsidR="00850996" w:rsidRPr="00D45034">
      <w:rPr>
        <w:rFonts w:ascii="Verdana" w:hAnsi="Verdana"/>
        <w:sz w:val="16"/>
      </w:rPr>
      <w:t xml:space="preserve"> / </w:t>
    </w:r>
    <w:r w:rsidR="00850996">
      <w:rPr>
        <w:rFonts w:ascii="Verdana" w:hAnsi="Verdana"/>
        <w:sz w:val="16"/>
      </w:rPr>
      <w:fldChar w:fldCharType="begin"/>
    </w:r>
    <w:r w:rsidR="00850996" w:rsidRPr="00D45034">
      <w:rPr>
        <w:rFonts w:ascii="Verdana" w:hAnsi="Verdana"/>
        <w:sz w:val="16"/>
      </w:rPr>
      <w:instrText xml:space="preserve"> NUMPAGES   \* MERGEFORMAT </w:instrText>
    </w:r>
    <w:r w:rsidR="00850996">
      <w:rPr>
        <w:rFonts w:ascii="Verdana" w:hAnsi="Verdana"/>
        <w:sz w:val="16"/>
      </w:rPr>
      <w:fldChar w:fldCharType="separate"/>
    </w:r>
    <w:r w:rsidR="00595C56" w:rsidRPr="00D45034">
      <w:rPr>
        <w:rFonts w:ascii="Verdana" w:hAnsi="Verdana"/>
        <w:noProof/>
        <w:sz w:val="16"/>
      </w:rPr>
      <w:t>2</w:t>
    </w:r>
    <w:r w:rsidR="00850996">
      <w:rPr>
        <w:rFonts w:ascii="Verdana" w:hAnsi="Verdana"/>
        <w:sz w:val="16"/>
      </w:rPr>
      <w:fldChar w:fldCharType="end"/>
    </w:r>
    <w:r w:rsidR="00850996" w:rsidRPr="00D45034">
      <w:rPr>
        <w:rFonts w:ascii="Verdana" w:hAnsi="Verdana"/>
        <w:sz w:val="16"/>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7DAC534" w14:textId="77777777" w:rsidR="00782F5F" w:rsidRDefault="00782F5F">
      <w:r>
        <w:separator/>
      </w:r>
    </w:p>
  </w:footnote>
  <w:footnote w:type="continuationSeparator" w:id="0">
    <w:p w14:paraId="48F73278" w14:textId="77777777" w:rsidR="00782F5F" w:rsidRDefault="00782F5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1863233" w14:textId="77777777" w:rsidR="00782F5F" w:rsidRPr="00221DE6" w:rsidRDefault="00782F5F">
    <w:pPr>
      <w:pStyle w:val="Kopfzeile"/>
      <w:rPr>
        <w:rFonts w:ascii="Verdana" w:hAnsi="Verdana"/>
        <w:bCs/>
        <w:sz w:val="20"/>
        <w:szCs w:val="20"/>
      </w:rPr>
    </w:pPr>
  </w:p>
  <w:p w14:paraId="5440AF55" w14:textId="77777777" w:rsidR="00782F5F" w:rsidRPr="00221DE6" w:rsidRDefault="00782F5F">
    <w:pPr>
      <w:pStyle w:val="Kopfzeile"/>
      <w:rPr>
        <w:rFonts w:ascii="Verdana" w:hAnsi="Verdana"/>
        <w:bCs/>
        <w:sz w:val="20"/>
        <w:szCs w:val="20"/>
      </w:rPr>
    </w:pPr>
  </w:p>
  <w:p w14:paraId="509343CB" w14:textId="77777777" w:rsidR="00782F5F" w:rsidRPr="00221DE6" w:rsidRDefault="00782F5F">
    <w:pPr>
      <w:pStyle w:val="Kopfzeile"/>
      <w:rPr>
        <w:rFonts w:ascii="Verdana" w:hAnsi="Verdana"/>
        <w:bCs/>
        <w:sz w:val="20"/>
        <w:szCs w:val="20"/>
      </w:rPr>
    </w:pPr>
  </w:p>
  <w:p w14:paraId="3C9C9C83" w14:textId="77777777" w:rsidR="00782F5F" w:rsidRPr="00221DE6" w:rsidRDefault="00782F5F">
    <w:pPr>
      <w:pStyle w:val="Kopfzeile"/>
      <w:rPr>
        <w:rFonts w:ascii="Verdana" w:hAnsi="Verdana"/>
        <w:bCs/>
        <w:sz w:val="20"/>
        <w:szCs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64FA7CB" w14:textId="77777777" w:rsidR="00782F5F" w:rsidRDefault="00782F5F">
    <w:pPr>
      <w:pStyle w:val="Kopfzeile"/>
    </w:pPr>
  </w:p>
  <w:p w14:paraId="38E4D11E" w14:textId="77777777" w:rsidR="00782F5F" w:rsidRDefault="00782F5F">
    <w:pPr>
      <w:pStyle w:val="Kopfzeile"/>
    </w:pPr>
  </w:p>
  <w:p w14:paraId="3D37327B" w14:textId="77777777" w:rsidR="00782F5F" w:rsidRDefault="00782F5F">
    <w:pPr>
      <w:pStyle w:val="Kopfzeile"/>
    </w:pPr>
  </w:p>
  <w:p w14:paraId="09987693" w14:textId="77777777" w:rsidR="00782F5F" w:rsidRDefault="00782F5F">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5E42EE0"/>
    <w:multiLevelType w:val="hybridMultilevel"/>
    <w:tmpl w:val="16446E84"/>
    <w:lvl w:ilvl="0" w:tplc="C3B0E2EC">
      <w:start w:val="1"/>
      <w:numFmt w:val="lowerLetter"/>
      <w:lvlText w:val="%1)"/>
      <w:lvlJc w:val="left"/>
      <w:pPr>
        <w:ind w:left="1080" w:hanging="360"/>
      </w:pPr>
      <w:rPr>
        <w:rFonts w:hint="default"/>
      </w:rPr>
    </w:lvl>
    <w:lvl w:ilvl="1" w:tplc="08070019" w:tentative="1">
      <w:start w:val="1"/>
      <w:numFmt w:val="lowerLetter"/>
      <w:lvlText w:val="%2."/>
      <w:lvlJc w:val="left"/>
      <w:pPr>
        <w:ind w:left="1800" w:hanging="360"/>
      </w:pPr>
    </w:lvl>
    <w:lvl w:ilvl="2" w:tplc="0807001B" w:tentative="1">
      <w:start w:val="1"/>
      <w:numFmt w:val="lowerRoman"/>
      <w:lvlText w:val="%3."/>
      <w:lvlJc w:val="right"/>
      <w:pPr>
        <w:ind w:left="2520" w:hanging="180"/>
      </w:pPr>
    </w:lvl>
    <w:lvl w:ilvl="3" w:tplc="0807000F" w:tentative="1">
      <w:start w:val="1"/>
      <w:numFmt w:val="decimal"/>
      <w:lvlText w:val="%4."/>
      <w:lvlJc w:val="left"/>
      <w:pPr>
        <w:ind w:left="3240" w:hanging="360"/>
      </w:pPr>
    </w:lvl>
    <w:lvl w:ilvl="4" w:tplc="08070019" w:tentative="1">
      <w:start w:val="1"/>
      <w:numFmt w:val="lowerLetter"/>
      <w:lvlText w:val="%5."/>
      <w:lvlJc w:val="left"/>
      <w:pPr>
        <w:ind w:left="3960" w:hanging="360"/>
      </w:pPr>
    </w:lvl>
    <w:lvl w:ilvl="5" w:tplc="0807001B" w:tentative="1">
      <w:start w:val="1"/>
      <w:numFmt w:val="lowerRoman"/>
      <w:lvlText w:val="%6."/>
      <w:lvlJc w:val="right"/>
      <w:pPr>
        <w:ind w:left="4680" w:hanging="180"/>
      </w:pPr>
    </w:lvl>
    <w:lvl w:ilvl="6" w:tplc="0807000F" w:tentative="1">
      <w:start w:val="1"/>
      <w:numFmt w:val="decimal"/>
      <w:lvlText w:val="%7."/>
      <w:lvlJc w:val="left"/>
      <w:pPr>
        <w:ind w:left="5400" w:hanging="360"/>
      </w:pPr>
    </w:lvl>
    <w:lvl w:ilvl="7" w:tplc="08070019" w:tentative="1">
      <w:start w:val="1"/>
      <w:numFmt w:val="lowerLetter"/>
      <w:lvlText w:val="%8."/>
      <w:lvlJc w:val="left"/>
      <w:pPr>
        <w:ind w:left="6120" w:hanging="360"/>
      </w:pPr>
    </w:lvl>
    <w:lvl w:ilvl="8" w:tplc="0807001B" w:tentative="1">
      <w:start w:val="1"/>
      <w:numFmt w:val="lowerRoman"/>
      <w:lvlText w:val="%9."/>
      <w:lvlJc w:val="right"/>
      <w:pPr>
        <w:ind w:left="6840" w:hanging="180"/>
      </w:pPr>
    </w:lvl>
  </w:abstractNum>
  <w:abstractNum w:abstractNumId="1" w15:restartNumberingAfterBreak="0">
    <w:nsid w:val="1E16667A"/>
    <w:multiLevelType w:val="hybridMultilevel"/>
    <w:tmpl w:val="35F08DCC"/>
    <w:lvl w:ilvl="0" w:tplc="0807000F">
      <w:start w:val="1"/>
      <w:numFmt w:val="decimal"/>
      <w:lvlText w:val="%1."/>
      <w:lvlJc w:val="left"/>
      <w:pPr>
        <w:ind w:left="1069" w:hanging="360"/>
      </w:pPr>
    </w:lvl>
    <w:lvl w:ilvl="1" w:tplc="08070019" w:tentative="1">
      <w:start w:val="1"/>
      <w:numFmt w:val="lowerLetter"/>
      <w:lvlText w:val="%2."/>
      <w:lvlJc w:val="left"/>
      <w:pPr>
        <w:ind w:left="1789" w:hanging="360"/>
      </w:pPr>
    </w:lvl>
    <w:lvl w:ilvl="2" w:tplc="0807001B" w:tentative="1">
      <w:start w:val="1"/>
      <w:numFmt w:val="lowerRoman"/>
      <w:lvlText w:val="%3."/>
      <w:lvlJc w:val="right"/>
      <w:pPr>
        <w:ind w:left="2509" w:hanging="180"/>
      </w:pPr>
    </w:lvl>
    <w:lvl w:ilvl="3" w:tplc="0807000F" w:tentative="1">
      <w:start w:val="1"/>
      <w:numFmt w:val="decimal"/>
      <w:lvlText w:val="%4."/>
      <w:lvlJc w:val="left"/>
      <w:pPr>
        <w:ind w:left="3229" w:hanging="360"/>
      </w:pPr>
    </w:lvl>
    <w:lvl w:ilvl="4" w:tplc="08070019" w:tentative="1">
      <w:start w:val="1"/>
      <w:numFmt w:val="lowerLetter"/>
      <w:lvlText w:val="%5."/>
      <w:lvlJc w:val="left"/>
      <w:pPr>
        <w:ind w:left="3949" w:hanging="360"/>
      </w:pPr>
    </w:lvl>
    <w:lvl w:ilvl="5" w:tplc="0807001B" w:tentative="1">
      <w:start w:val="1"/>
      <w:numFmt w:val="lowerRoman"/>
      <w:lvlText w:val="%6."/>
      <w:lvlJc w:val="right"/>
      <w:pPr>
        <w:ind w:left="4669" w:hanging="180"/>
      </w:pPr>
    </w:lvl>
    <w:lvl w:ilvl="6" w:tplc="0807000F" w:tentative="1">
      <w:start w:val="1"/>
      <w:numFmt w:val="decimal"/>
      <w:lvlText w:val="%7."/>
      <w:lvlJc w:val="left"/>
      <w:pPr>
        <w:ind w:left="5389" w:hanging="360"/>
      </w:pPr>
    </w:lvl>
    <w:lvl w:ilvl="7" w:tplc="08070019" w:tentative="1">
      <w:start w:val="1"/>
      <w:numFmt w:val="lowerLetter"/>
      <w:lvlText w:val="%8."/>
      <w:lvlJc w:val="left"/>
      <w:pPr>
        <w:ind w:left="6109" w:hanging="360"/>
      </w:pPr>
    </w:lvl>
    <w:lvl w:ilvl="8" w:tplc="0807001B" w:tentative="1">
      <w:start w:val="1"/>
      <w:numFmt w:val="lowerRoman"/>
      <w:lvlText w:val="%9."/>
      <w:lvlJc w:val="right"/>
      <w:pPr>
        <w:ind w:left="6829" w:hanging="180"/>
      </w:pPr>
    </w:lvl>
  </w:abstractNum>
  <w:abstractNum w:abstractNumId="2" w15:restartNumberingAfterBreak="0">
    <w:nsid w:val="261E757A"/>
    <w:multiLevelType w:val="hybridMultilevel"/>
    <w:tmpl w:val="3CDAFA52"/>
    <w:lvl w:ilvl="0" w:tplc="0807000F">
      <w:start w:val="1"/>
      <w:numFmt w:val="decimal"/>
      <w:lvlText w:val="%1."/>
      <w:lvlJc w:val="left"/>
      <w:pPr>
        <w:ind w:left="108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3" w15:restartNumberingAfterBreak="0">
    <w:nsid w:val="26555442"/>
    <w:multiLevelType w:val="hybridMultilevel"/>
    <w:tmpl w:val="B812040E"/>
    <w:lvl w:ilvl="0" w:tplc="2286C17E">
      <w:numFmt w:val="bullet"/>
      <w:lvlText w:val="-"/>
      <w:lvlJc w:val="left"/>
      <w:pPr>
        <w:ind w:left="720" w:hanging="360"/>
      </w:pPr>
      <w:rPr>
        <w:rFonts w:ascii="Calisto MT" w:eastAsia="Times New Roman" w:hAnsi="Calisto MT" w:cs="Aria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4" w15:restartNumberingAfterBreak="0">
    <w:nsid w:val="38D90940"/>
    <w:multiLevelType w:val="hybridMultilevel"/>
    <w:tmpl w:val="65804C94"/>
    <w:lvl w:ilvl="0" w:tplc="0807000F">
      <w:start w:val="1"/>
      <w:numFmt w:val="decimal"/>
      <w:lvlText w:val="%1."/>
      <w:lvlJc w:val="left"/>
      <w:pPr>
        <w:ind w:left="720" w:hanging="360"/>
      </w:pPr>
      <w:rPr>
        <w:rFonts w:hint="default"/>
      </w:rPr>
    </w:lvl>
    <w:lvl w:ilvl="1" w:tplc="08070019">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5" w15:restartNumberingAfterBreak="0">
    <w:nsid w:val="3C634F99"/>
    <w:multiLevelType w:val="hybridMultilevel"/>
    <w:tmpl w:val="F11A16D0"/>
    <w:lvl w:ilvl="0" w:tplc="C3B0E2EC">
      <w:start w:val="1"/>
      <w:numFmt w:val="lowerLetter"/>
      <w:lvlText w:val="%1)"/>
      <w:lvlJc w:val="left"/>
      <w:pPr>
        <w:ind w:left="108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6" w15:restartNumberingAfterBreak="0">
    <w:nsid w:val="404A194D"/>
    <w:multiLevelType w:val="hybridMultilevel"/>
    <w:tmpl w:val="CA9EA24A"/>
    <w:lvl w:ilvl="0" w:tplc="0807000F">
      <w:start w:val="1"/>
      <w:numFmt w:val="decimal"/>
      <w:lvlText w:val="%1."/>
      <w:lvlJc w:val="left"/>
      <w:pPr>
        <w:ind w:left="720" w:hanging="360"/>
      </w:p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7" w15:restartNumberingAfterBreak="0">
    <w:nsid w:val="5D490643"/>
    <w:multiLevelType w:val="hybridMultilevel"/>
    <w:tmpl w:val="DFAC4834"/>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8" w15:restartNumberingAfterBreak="0">
    <w:nsid w:val="7E4F7565"/>
    <w:multiLevelType w:val="hybridMultilevel"/>
    <w:tmpl w:val="D6D2D96C"/>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num w:numId="1">
    <w:abstractNumId w:val="7"/>
  </w:num>
  <w:num w:numId="2">
    <w:abstractNumId w:val="8"/>
  </w:num>
  <w:num w:numId="3">
    <w:abstractNumId w:val="0"/>
  </w:num>
  <w:num w:numId="4">
    <w:abstractNumId w:val="4"/>
  </w:num>
  <w:num w:numId="5">
    <w:abstractNumId w:val="1"/>
  </w:num>
  <w:num w:numId="6">
    <w:abstractNumId w:val="5"/>
  </w:num>
  <w:num w:numId="7">
    <w:abstractNumId w:val="2"/>
  </w:num>
  <w:num w:numId="8">
    <w:abstractNumId w:val="3"/>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ocumentProtection w:edit="forms" w:enforcement="1"/>
  <w:defaultTabStop w:val="709"/>
  <w:autoHyphenation/>
  <w:hyphenationZone w:val="425"/>
  <w:drawingGridHorizontalSpacing w:val="120"/>
  <w:displayHorizontalDrawingGridEvery w:val="2"/>
  <w:noPunctuationKerning/>
  <w:characterSpacingControl w:val="doNotCompress"/>
  <w:hdrShapeDefaults>
    <o:shapedefaults v:ext="edit" spidmax="179201"/>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344D57"/>
    <w:rsid w:val="00024E1E"/>
    <w:rsid w:val="00032704"/>
    <w:rsid w:val="00035A24"/>
    <w:rsid w:val="00035FF8"/>
    <w:rsid w:val="000369DB"/>
    <w:rsid w:val="00037094"/>
    <w:rsid w:val="00046B19"/>
    <w:rsid w:val="0005166B"/>
    <w:rsid w:val="00072CBA"/>
    <w:rsid w:val="0008438E"/>
    <w:rsid w:val="00085F72"/>
    <w:rsid w:val="00090377"/>
    <w:rsid w:val="000A125C"/>
    <w:rsid w:val="000A2408"/>
    <w:rsid w:val="000B185E"/>
    <w:rsid w:val="000B52C9"/>
    <w:rsid w:val="000E34CF"/>
    <w:rsid w:val="000F7B13"/>
    <w:rsid w:val="001047B8"/>
    <w:rsid w:val="00113FCB"/>
    <w:rsid w:val="001158D9"/>
    <w:rsid w:val="00117575"/>
    <w:rsid w:val="001410DB"/>
    <w:rsid w:val="001538FE"/>
    <w:rsid w:val="00154E6D"/>
    <w:rsid w:val="00154F92"/>
    <w:rsid w:val="00163575"/>
    <w:rsid w:val="00172003"/>
    <w:rsid w:val="001848C7"/>
    <w:rsid w:val="00191248"/>
    <w:rsid w:val="00194D68"/>
    <w:rsid w:val="001960D8"/>
    <w:rsid w:val="001C2FDF"/>
    <w:rsid w:val="001C7843"/>
    <w:rsid w:val="001D3DEB"/>
    <w:rsid w:val="001D49AF"/>
    <w:rsid w:val="001F44FC"/>
    <w:rsid w:val="001F59D5"/>
    <w:rsid w:val="001F684C"/>
    <w:rsid w:val="00206BC7"/>
    <w:rsid w:val="00210104"/>
    <w:rsid w:val="00221DE6"/>
    <w:rsid w:val="0022359B"/>
    <w:rsid w:val="00231575"/>
    <w:rsid w:val="0023312E"/>
    <w:rsid w:val="00234048"/>
    <w:rsid w:val="002341B4"/>
    <w:rsid w:val="00253F55"/>
    <w:rsid w:val="002607CF"/>
    <w:rsid w:val="00261943"/>
    <w:rsid w:val="00261F2A"/>
    <w:rsid w:val="00273AF0"/>
    <w:rsid w:val="002840E4"/>
    <w:rsid w:val="002851A1"/>
    <w:rsid w:val="002865C2"/>
    <w:rsid w:val="00292256"/>
    <w:rsid w:val="002D0A33"/>
    <w:rsid w:val="002D74F1"/>
    <w:rsid w:val="002F010D"/>
    <w:rsid w:val="002F1231"/>
    <w:rsid w:val="002F4807"/>
    <w:rsid w:val="00306E6D"/>
    <w:rsid w:val="00310757"/>
    <w:rsid w:val="00311485"/>
    <w:rsid w:val="003122A8"/>
    <w:rsid w:val="00316A99"/>
    <w:rsid w:val="00317B01"/>
    <w:rsid w:val="0034443A"/>
    <w:rsid w:val="00344D57"/>
    <w:rsid w:val="00347A05"/>
    <w:rsid w:val="00356C33"/>
    <w:rsid w:val="00363C53"/>
    <w:rsid w:val="003832E1"/>
    <w:rsid w:val="003843B5"/>
    <w:rsid w:val="00385949"/>
    <w:rsid w:val="0039335A"/>
    <w:rsid w:val="003B0331"/>
    <w:rsid w:val="003B5725"/>
    <w:rsid w:val="003C1D6A"/>
    <w:rsid w:val="003C6974"/>
    <w:rsid w:val="003E5E45"/>
    <w:rsid w:val="003E724E"/>
    <w:rsid w:val="003F6098"/>
    <w:rsid w:val="00402F85"/>
    <w:rsid w:val="004048AC"/>
    <w:rsid w:val="00410D74"/>
    <w:rsid w:val="00413C6F"/>
    <w:rsid w:val="00413D67"/>
    <w:rsid w:val="00414ED1"/>
    <w:rsid w:val="00434B7F"/>
    <w:rsid w:val="00435A14"/>
    <w:rsid w:val="004371D3"/>
    <w:rsid w:val="00440E10"/>
    <w:rsid w:val="004474C8"/>
    <w:rsid w:val="004608DF"/>
    <w:rsid w:val="004664D0"/>
    <w:rsid w:val="00472C5A"/>
    <w:rsid w:val="00474BB2"/>
    <w:rsid w:val="00481528"/>
    <w:rsid w:val="00481E45"/>
    <w:rsid w:val="00484BE5"/>
    <w:rsid w:val="004A2596"/>
    <w:rsid w:val="004A40BD"/>
    <w:rsid w:val="004A486C"/>
    <w:rsid w:val="004A5431"/>
    <w:rsid w:val="004C0067"/>
    <w:rsid w:val="004C1C84"/>
    <w:rsid w:val="004D0326"/>
    <w:rsid w:val="004D1B37"/>
    <w:rsid w:val="004D475A"/>
    <w:rsid w:val="004D5043"/>
    <w:rsid w:val="004D6B71"/>
    <w:rsid w:val="004E350E"/>
    <w:rsid w:val="004E3F2A"/>
    <w:rsid w:val="004F36B3"/>
    <w:rsid w:val="00503515"/>
    <w:rsid w:val="00537065"/>
    <w:rsid w:val="00544826"/>
    <w:rsid w:val="00546826"/>
    <w:rsid w:val="00561FE5"/>
    <w:rsid w:val="00574334"/>
    <w:rsid w:val="00582529"/>
    <w:rsid w:val="005920EA"/>
    <w:rsid w:val="00593DEC"/>
    <w:rsid w:val="00595C56"/>
    <w:rsid w:val="005967B6"/>
    <w:rsid w:val="005A586E"/>
    <w:rsid w:val="005C20C4"/>
    <w:rsid w:val="005C4F04"/>
    <w:rsid w:val="005C5B12"/>
    <w:rsid w:val="005D5B86"/>
    <w:rsid w:val="005E28C7"/>
    <w:rsid w:val="005E5E2B"/>
    <w:rsid w:val="00620E22"/>
    <w:rsid w:val="006241F8"/>
    <w:rsid w:val="00633CDA"/>
    <w:rsid w:val="0064795A"/>
    <w:rsid w:val="0066707F"/>
    <w:rsid w:val="0067011C"/>
    <w:rsid w:val="00670DA9"/>
    <w:rsid w:val="0067290A"/>
    <w:rsid w:val="00685A14"/>
    <w:rsid w:val="006939BE"/>
    <w:rsid w:val="006941EC"/>
    <w:rsid w:val="00697E7C"/>
    <w:rsid w:val="006A4DE8"/>
    <w:rsid w:val="006B58DA"/>
    <w:rsid w:val="006C52B9"/>
    <w:rsid w:val="00715AA2"/>
    <w:rsid w:val="007170B6"/>
    <w:rsid w:val="007364B1"/>
    <w:rsid w:val="0075761C"/>
    <w:rsid w:val="00761B59"/>
    <w:rsid w:val="0076635D"/>
    <w:rsid w:val="00767231"/>
    <w:rsid w:val="0076758E"/>
    <w:rsid w:val="007768AB"/>
    <w:rsid w:val="00782F5F"/>
    <w:rsid w:val="00783767"/>
    <w:rsid w:val="007A70D9"/>
    <w:rsid w:val="007A7FB2"/>
    <w:rsid w:val="007C0A9E"/>
    <w:rsid w:val="007C607C"/>
    <w:rsid w:val="007D4605"/>
    <w:rsid w:val="007F066D"/>
    <w:rsid w:val="00801C13"/>
    <w:rsid w:val="00802890"/>
    <w:rsid w:val="00806213"/>
    <w:rsid w:val="0082150B"/>
    <w:rsid w:val="00825919"/>
    <w:rsid w:val="00830797"/>
    <w:rsid w:val="00836DC8"/>
    <w:rsid w:val="00845DEA"/>
    <w:rsid w:val="00850996"/>
    <w:rsid w:val="00862636"/>
    <w:rsid w:val="00867BB9"/>
    <w:rsid w:val="0088713B"/>
    <w:rsid w:val="0088717C"/>
    <w:rsid w:val="00891B66"/>
    <w:rsid w:val="008A3F43"/>
    <w:rsid w:val="008E0300"/>
    <w:rsid w:val="008F4D6E"/>
    <w:rsid w:val="008F6427"/>
    <w:rsid w:val="009059DB"/>
    <w:rsid w:val="00906666"/>
    <w:rsid w:val="00913DF0"/>
    <w:rsid w:val="00923D5F"/>
    <w:rsid w:val="00924817"/>
    <w:rsid w:val="0094631C"/>
    <w:rsid w:val="0095330E"/>
    <w:rsid w:val="00967A63"/>
    <w:rsid w:val="00981F27"/>
    <w:rsid w:val="009D4627"/>
    <w:rsid w:val="009D5190"/>
    <w:rsid w:val="009E1867"/>
    <w:rsid w:val="009E51F4"/>
    <w:rsid w:val="009E5D53"/>
    <w:rsid w:val="009F54FD"/>
    <w:rsid w:val="00A11ED8"/>
    <w:rsid w:val="00A159C0"/>
    <w:rsid w:val="00A36CE2"/>
    <w:rsid w:val="00A40DAB"/>
    <w:rsid w:val="00A57B1C"/>
    <w:rsid w:val="00A64F48"/>
    <w:rsid w:val="00A81FCC"/>
    <w:rsid w:val="00A94A64"/>
    <w:rsid w:val="00AA07B3"/>
    <w:rsid w:val="00AA0D48"/>
    <w:rsid w:val="00AA1243"/>
    <w:rsid w:val="00AB1153"/>
    <w:rsid w:val="00AB7075"/>
    <w:rsid w:val="00AC036D"/>
    <w:rsid w:val="00AD4A3E"/>
    <w:rsid w:val="00AF0428"/>
    <w:rsid w:val="00B25241"/>
    <w:rsid w:val="00B256CF"/>
    <w:rsid w:val="00B2743E"/>
    <w:rsid w:val="00B275FD"/>
    <w:rsid w:val="00B3034F"/>
    <w:rsid w:val="00B30E7B"/>
    <w:rsid w:val="00B323D2"/>
    <w:rsid w:val="00B33594"/>
    <w:rsid w:val="00B425CC"/>
    <w:rsid w:val="00B44C81"/>
    <w:rsid w:val="00B4658C"/>
    <w:rsid w:val="00B501A5"/>
    <w:rsid w:val="00B52DA0"/>
    <w:rsid w:val="00B77B09"/>
    <w:rsid w:val="00B81480"/>
    <w:rsid w:val="00B82ECC"/>
    <w:rsid w:val="00B85C0D"/>
    <w:rsid w:val="00B917B1"/>
    <w:rsid w:val="00BD65F7"/>
    <w:rsid w:val="00BE27E2"/>
    <w:rsid w:val="00BF1A13"/>
    <w:rsid w:val="00C0161A"/>
    <w:rsid w:val="00C03E04"/>
    <w:rsid w:val="00C13B98"/>
    <w:rsid w:val="00C14A40"/>
    <w:rsid w:val="00C40026"/>
    <w:rsid w:val="00C44744"/>
    <w:rsid w:val="00C51239"/>
    <w:rsid w:val="00C54E57"/>
    <w:rsid w:val="00C64BE8"/>
    <w:rsid w:val="00C71573"/>
    <w:rsid w:val="00C716BB"/>
    <w:rsid w:val="00C95CDB"/>
    <w:rsid w:val="00CA1DE6"/>
    <w:rsid w:val="00CB1826"/>
    <w:rsid w:val="00CC27D1"/>
    <w:rsid w:val="00CC2F84"/>
    <w:rsid w:val="00CC531C"/>
    <w:rsid w:val="00CC65E1"/>
    <w:rsid w:val="00CF4099"/>
    <w:rsid w:val="00D12B2D"/>
    <w:rsid w:val="00D23B40"/>
    <w:rsid w:val="00D32BBE"/>
    <w:rsid w:val="00D43F7E"/>
    <w:rsid w:val="00D45034"/>
    <w:rsid w:val="00D473DE"/>
    <w:rsid w:val="00D66957"/>
    <w:rsid w:val="00D81498"/>
    <w:rsid w:val="00D9302B"/>
    <w:rsid w:val="00D95661"/>
    <w:rsid w:val="00DB51C9"/>
    <w:rsid w:val="00DD200E"/>
    <w:rsid w:val="00DD7998"/>
    <w:rsid w:val="00DE047B"/>
    <w:rsid w:val="00DF14AE"/>
    <w:rsid w:val="00E06BA0"/>
    <w:rsid w:val="00E13D90"/>
    <w:rsid w:val="00E13FE2"/>
    <w:rsid w:val="00E15F01"/>
    <w:rsid w:val="00E212EC"/>
    <w:rsid w:val="00E36192"/>
    <w:rsid w:val="00E3730A"/>
    <w:rsid w:val="00E40592"/>
    <w:rsid w:val="00E53C19"/>
    <w:rsid w:val="00E603AC"/>
    <w:rsid w:val="00E7245B"/>
    <w:rsid w:val="00E807C4"/>
    <w:rsid w:val="00E92FC8"/>
    <w:rsid w:val="00EA28E0"/>
    <w:rsid w:val="00EB2ED3"/>
    <w:rsid w:val="00EB41E3"/>
    <w:rsid w:val="00EB5D6F"/>
    <w:rsid w:val="00ED3708"/>
    <w:rsid w:val="00EE179B"/>
    <w:rsid w:val="00EE5788"/>
    <w:rsid w:val="00F02851"/>
    <w:rsid w:val="00F0368F"/>
    <w:rsid w:val="00F15A6B"/>
    <w:rsid w:val="00F17F90"/>
    <w:rsid w:val="00F26D1F"/>
    <w:rsid w:val="00F27E45"/>
    <w:rsid w:val="00F46878"/>
    <w:rsid w:val="00F47C0C"/>
    <w:rsid w:val="00F47DD7"/>
    <w:rsid w:val="00F513DF"/>
    <w:rsid w:val="00F5147A"/>
    <w:rsid w:val="00F5157F"/>
    <w:rsid w:val="00F642F0"/>
    <w:rsid w:val="00F832B7"/>
    <w:rsid w:val="00F91EBA"/>
    <w:rsid w:val="00F97896"/>
    <w:rsid w:val="00FA2820"/>
    <w:rsid w:val="00FB27B9"/>
    <w:rsid w:val="00FB60B2"/>
    <w:rsid w:val="00FB6616"/>
    <w:rsid w:val="00FC27E8"/>
    <w:rsid w:val="00FD7B8E"/>
    <w:rsid w:val="00FE58B8"/>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79201"/>
    <o:shapelayout v:ext="edit">
      <o:idmap v:ext="edit" data="1"/>
    </o:shapelayout>
  </w:shapeDefaults>
  <w:decimalSymbol w:val="."/>
  <w:listSeparator w:val=";"/>
  <w14:docId w14:val="36C47F8B"/>
  <w15:docId w15:val="{89BA5F28-EBAF-4314-860E-2CF4EA5C22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fr-CH" w:eastAsia="de-CH"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D473DE"/>
    <w:rPr>
      <w:sz w:val="24"/>
      <w:szCs w:val="24"/>
      <w:lang w:eastAsia="de-DE"/>
    </w:rPr>
  </w:style>
  <w:style w:type="paragraph" w:styleId="berschrift1">
    <w:name w:val="heading 1"/>
    <w:basedOn w:val="Standard"/>
    <w:next w:val="Standard"/>
    <w:qFormat/>
    <w:rsid w:val="00D473DE"/>
    <w:pPr>
      <w:keepNext/>
      <w:outlineLvl w:val="0"/>
    </w:pPr>
    <w:rPr>
      <w:rFonts w:ascii="Trebuchet MS" w:hAnsi="Trebuchet MS"/>
      <w:b/>
      <w:bCs/>
      <w:sz w:val="22"/>
    </w:rPr>
  </w:style>
  <w:style w:type="paragraph" w:styleId="berschrift2">
    <w:name w:val="heading 2"/>
    <w:basedOn w:val="Standard"/>
    <w:next w:val="Standard"/>
    <w:link w:val="berschrift2Zchn"/>
    <w:uiPriority w:val="9"/>
    <w:semiHidden/>
    <w:unhideWhenUsed/>
    <w:qFormat/>
    <w:rsid w:val="00F97896"/>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Textkrper">
    <w:name w:val="Body Text"/>
    <w:basedOn w:val="Standard"/>
    <w:link w:val="TextkrperZchn"/>
    <w:semiHidden/>
    <w:rsid w:val="00D473DE"/>
    <w:rPr>
      <w:rFonts w:ascii="Arial" w:hAnsi="Arial" w:cs="Arial"/>
      <w:sz w:val="20"/>
    </w:rPr>
  </w:style>
  <w:style w:type="character" w:styleId="Hyperlink">
    <w:name w:val="Hyperlink"/>
    <w:basedOn w:val="Absatz-Standardschriftart"/>
    <w:semiHidden/>
    <w:rsid w:val="00D473DE"/>
    <w:rPr>
      <w:color w:val="0000FF"/>
      <w:u w:val="single"/>
    </w:rPr>
  </w:style>
  <w:style w:type="character" w:styleId="BesuchterLink">
    <w:name w:val="FollowedHyperlink"/>
    <w:basedOn w:val="Absatz-Standardschriftart"/>
    <w:semiHidden/>
    <w:rsid w:val="00D473DE"/>
    <w:rPr>
      <w:color w:val="800080"/>
      <w:u w:val="single"/>
    </w:rPr>
  </w:style>
  <w:style w:type="paragraph" w:styleId="Kopfzeile">
    <w:name w:val="header"/>
    <w:basedOn w:val="Standard"/>
    <w:semiHidden/>
    <w:rsid w:val="00D473DE"/>
    <w:pPr>
      <w:tabs>
        <w:tab w:val="center" w:pos="4536"/>
        <w:tab w:val="right" w:pos="9072"/>
      </w:tabs>
    </w:pPr>
  </w:style>
  <w:style w:type="paragraph" w:styleId="Fuzeile">
    <w:name w:val="footer"/>
    <w:basedOn w:val="Standard"/>
    <w:semiHidden/>
    <w:rsid w:val="00D473DE"/>
    <w:pPr>
      <w:tabs>
        <w:tab w:val="center" w:pos="4536"/>
        <w:tab w:val="right" w:pos="9072"/>
      </w:tabs>
    </w:pPr>
  </w:style>
  <w:style w:type="paragraph" w:styleId="Sprechblasentext">
    <w:name w:val="Balloon Text"/>
    <w:basedOn w:val="Standard"/>
    <w:link w:val="SprechblasentextZchn"/>
    <w:uiPriority w:val="99"/>
    <w:semiHidden/>
    <w:unhideWhenUsed/>
    <w:rsid w:val="00845DEA"/>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845DEA"/>
    <w:rPr>
      <w:rFonts w:ascii="Tahoma" w:hAnsi="Tahoma" w:cs="Tahoma"/>
      <w:sz w:val="16"/>
      <w:szCs w:val="16"/>
      <w:lang w:val="fr-CH" w:eastAsia="de-DE"/>
    </w:rPr>
  </w:style>
  <w:style w:type="paragraph" w:styleId="Listenabsatz">
    <w:name w:val="List Paragraph"/>
    <w:basedOn w:val="Standard"/>
    <w:uiPriority w:val="34"/>
    <w:qFormat/>
    <w:rsid w:val="00210104"/>
    <w:pPr>
      <w:ind w:left="720"/>
      <w:contextualSpacing/>
    </w:pPr>
  </w:style>
  <w:style w:type="character" w:customStyle="1" w:styleId="adrgroup2">
    <w:name w:val="adrgroup2"/>
    <w:basedOn w:val="Absatz-Standardschriftart"/>
    <w:rsid w:val="00806213"/>
  </w:style>
  <w:style w:type="character" w:customStyle="1" w:styleId="postal-code">
    <w:name w:val="postal-code"/>
    <w:basedOn w:val="Absatz-Standardschriftart"/>
    <w:rsid w:val="00806213"/>
  </w:style>
  <w:style w:type="character" w:customStyle="1" w:styleId="locality">
    <w:name w:val="locality"/>
    <w:basedOn w:val="Absatz-Standardschriftart"/>
    <w:rsid w:val="00806213"/>
  </w:style>
  <w:style w:type="character" w:customStyle="1" w:styleId="slkeyword1">
    <w:name w:val="sl_keyword1"/>
    <w:basedOn w:val="Absatz-Standardschriftart"/>
    <w:rsid w:val="00806213"/>
    <w:rPr>
      <w:shd w:val="clear" w:color="auto" w:fill="DDF3DA"/>
    </w:rPr>
  </w:style>
  <w:style w:type="character" w:customStyle="1" w:styleId="TextkrperZchn">
    <w:name w:val="Textkörper Zchn"/>
    <w:basedOn w:val="Absatz-Standardschriftart"/>
    <w:link w:val="Textkrper"/>
    <w:semiHidden/>
    <w:rsid w:val="00F46878"/>
    <w:rPr>
      <w:rFonts w:ascii="Arial" w:hAnsi="Arial" w:cs="Arial"/>
      <w:szCs w:val="24"/>
      <w:lang w:val="fr-CH" w:eastAsia="de-DE"/>
    </w:rPr>
  </w:style>
  <w:style w:type="character" w:customStyle="1" w:styleId="berschrift2Zchn">
    <w:name w:val="Überschrift 2 Zchn"/>
    <w:basedOn w:val="Absatz-Standardschriftart"/>
    <w:link w:val="berschrift2"/>
    <w:uiPriority w:val="9"/>
    <w:semiHidden/>
    <w:rsid w:val="00F97896"/>
    <w:rPr>
      <w:rFonts w:asciiTheme="majorHAnsi" w:eastAsiaTheme="majorEastAsia" w:hAnsiTheme="majorHAnsi" w:cstheme="majorBidi"/>
      <w:b/>
      <w:bCs/>
      <w:color w:val="4F81BD" w:themeColor="accent1"/>
      <w:sz w:val="26"/>
      <w:szCs w:val="26"/>
      <w:lang w:val="fr-CH" w:eastAsia="de-DE"/>
    </w:rPr>
  </w:style>
  <w:style w:type="paragraph" w:styleId="berarbeitung">
    <w:name w:val="Revision"/>
    <w:hidden/>
    <w:uiPriority w:val="99"/>
    <w:semiHidden/>
    <w:rsid w:val="000E34CF"/>
    <w:rPr>
      <w:sz w:val="24"/>
      <w:szCs w:val="24"/>
      <w:lang w:eastAsia="de-DE"/>
    </w:rPr>
  </w:style>
  <w:style w:type="table" w:styleId="Tabellenraster">
    <w:name w:val="Table Grid"/>
    <w:basedOn w:val="NormaleTabelle"/>
    <w:uiPriority w:val="59"/>
    <w:rsid w:val="007A7FB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tzhaltertext">
    <w:name w:val="Placeholder Text"/>
    <w:basedOn w:val="Absatz-Standardschriftart"/>
    <w:uiPriority w:val="99"/>
    <w:semiHidden/>
    <w:rsid w:val="00633CDA"/>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53933213">
      <w:bodyDiv w:val="1"/>
      <w:marLeft w:val="0"/>
      <w:marRight w:val="0"/>
      <w:marTop w:val="0"/>
      <w:marBottom w:val="0"/>
      <w:divBdr>
        <w:top w:val="none" w:sz="0" w:space="0" w:color="auto"/>
        <w:left w:val="none" w:sz="0" w:space="0" w:color="auto"/>
        <w:bottom w:val="none" w:sz="0" w:space="0" w:color="auto"/>
        <w:right w:val="none" w:sz="0" w:space="0" w:color="auto"/>
      </w:divBdr>
    </w:div>
    <w:div w:id="12356980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http://schemas.openxmlformats.org/officeDocument/2006/bibliography" xmlns:b="http://schemas.openxmlformats.org/officeDocument/2006/bibliography" xmlns:star_td="http://www.star-group.net/schemas/transit/filters/textdata" SelectedStyle="\APA.XSL" StyleName="APA"/>
</file>

<file path=customXml/itemProps1.xml><?xml version="1.0" encoding="utf-8"?>
<ds:datastoreItem xmlns:ds="http://schemas.openxmlformats.org/officeDocument/2006/customXml" ds:itemID="{31504802-C7CA-401A-B50E-CE4272F8D835}">
  <ds:schemaRefs>
    <ds:schemaRef ds:uri="http://schemas.openxmlformats.org/officeDocument/2006/bibliography"/>
    <ds:schemaRef ds:uri="http://www.star-group.net/schemas/transit/filters/text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680</Words>
  <Characters>4291</Characters>
  <Application>Microsoft Office Word</Application>
  <DocSecurity>4</DocSecurity>
  <Lines>35</Lines>
  <Paragraphs>9</Paragraphs>
  <ScaleCrop>false</ScaleCrop>
  <HeadingPairs>
    <vt:vector size="6" baseType="variant">
      <vt:variant>
        <vt:lpstr>Titel</vt:lpstr>
      </vt:variant>
      <vt:variant>
        <vt:i4>1</vt:i4>
      </vt:variant>
      <vt:variant>
        <vt:lpstr>Titre</vt:lpstr>
      </vt:variant>
      <vt:variant>
        <vt:i4>1</vt:i4>
      </vt:variant>
      <vt:variant>
        <vt:lpstr>Title</vt:lpstr>
      </vt:variant>
      <vt:variant>
        <vt:i4>1</vt:i4>
      </vt:variant>
    </vt:vector>
  </HeadingPairs>
  <TitlesOfParts>
    <vt:vector size="3" baseType="lpstr">
      <vt:lpstr/>
      <vt:lpstr/>
      <vt:lpstr/>
    </vt:vector>
  </TitlesOfParts>
  <Company/>
  <LinksUpToDate>false</LinksUpToDate>
  <CharactersWithSpaces>4962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Hayoz Philippe (HYO)</dc:creator>
  <cp:lastModifiedBy>Odermatt-Ettlin Rita (ORI)</cp:lastModifiedBy>
  <cp:revision>2</cp:revision>
  <cp:lastPrinted>2016-11-25T09:52:00Z</cp:lastPrinted>
  <dcterms:created xsi:type="dcterms:W3CDTF">2021-06-17T06:42:00Z</dcterms:created>
  <dcterms:modified xsi:type="dcterms:W3CDTF">2021-06-17T06:42:00Z</dcterms:modified>
</cp:coreProperties>
</file>