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878" w:rsidRPr="001158D9" w:rsidRDefault="00F46878" w:rsidP="005967B6">
      <w:pPr>
        <w:rPr>
          <w:rFonts w:ascii="Verdana" w:hAnsi="Verdana"/>
        </w:rPr>
      </w:pPr>
      <w:bookmarkStart w:id="0" w:name="_GoBack"/>
      <w:bookmarkEnd w:id="0"/>
    </w:p>
    <w:p w:rsidR="00F46878" w:rsidRPr="001158D9" w:rsidRDefault="00F46878" w:rsidP="005967B6">
      <w:pPr>
        <w:rPr>
          <w:rFonts w:ascii="Verdana" w:hAnsi="Verdana"/>
        </w:rPr>
      </w:pPr>
    </w:p>
    <w:p w:rsidR="004608DF" w:rsidRPr="001158D9" w:rsidRDefault="004608DF" w:rsidP="005967B6">
      <w:pPr>
        <w:rPr>
          <w:rFonts w:ascii="Verdana" w:hAnsi="Verdana"/>
        </w:rPr>
      </w:pPr>
    </w:p>
    <w:p w:rsidR="00B52DA0" w:rsidRPr="00AE5550" w:rsidRDefault="0017319A" w:rsidP="007A7FB2">
      <w:pPr>
        <w:jc w:val="both"/>
        <w:rPr>
          <w:rFonts w:ascii="Verdana" w:hAnsi="Verdana"/>
          <w:b/>
          <w:sz w:val="20"/>
          <w:szCs w:val="20"/>
          <w:lang w:val="it-CH"/>
        </w:rPr>
      </w:pPr>
      <w:r w:rsidRPr="00AE5550">
        <w:rPr>
          <w:rFonts w:ascii="Verdana" w:hAnsi="Verdana"/>
          <w:b/>
          <w:sz w:val="20"/>
          <w:szCs w:val="20"/>
          <w:lang w:val="it-CH"/>
        </w:rPr>
        <w:t xml:space="preserve">Richiesta di garanzia sui costi per </w:t>
      </w:r>
      <w:r w:rsidR="00D21DC9">
        <w:rPr>
          <w:rFonts w:ascii="Verdana" w:hAnsi="Verdana"/>
          <w:b/>
          <w:sz w:val="20"/>
          <w:szCs w:val="20"/>
          <w:lang w:val="it-CH"/>
        </w:rPr>
        <w:t xml:space="preserve">la </w:t>
      </w:r>
      <w:r w:rsidRPr="00AE5550">
        <w:rPr>
          <w:rFonts w:ascii="Verdana" w:hAnsi="Verdana"/>
          <w:b/>
          <w:sz w:val="20"/>
          <w:szCs w:val="20"/>
          <w:lang w:val="it-CH"/>
        </w:rPr>
        <w:t>neuroc</w:t>
      </w:r>
      <w:r w:rsidR="000E7995" w:rsidRPr="00AE5550">
        <w:rPr>
          <w:rFonts w:ascii="Verdana" w:hAnsi="Verdana"/>
          <w:b/>
          <w:sz w:val="20"/>
          <w:szCs w:val="20"/>
          <w:lang w:val="it-CH"/>
        </w:rPr>
        <w:t>hirurgia funzionale con ultrasu</w:t>
      </w:r>
      <w:r w:rsidRPr="00AE5550">
        <w:rPr>
          <w:rFonts w:ascii="Verdana" w:hAnsi="Verdana"/>
          <w:b/>
          <w:sz w:val="20"/>
          <w:szCs w:val="20"/>
          <w:lang w:val="it-CH"/>
        </w:rPr>
        <w:t>oni conform</w:t>
      </w:r>
      <w:r w:rsidR="00531F98">
        <w:rPr>
          <w:rFonts w:ascii="Verdana" w:hAnsi="Verdana"/>
          <w:b/>
          <w:sz w:val="20"/>
          <w:szCs w:val="20"/>
          <w:lang w:val="it-CH"/>
        </w:rPr>
        <w:t>e</w:t>
      </w:r>
      <w:r w:rsidR="00AE5550" w:rsidRPr="00AE5550">
        <w:rPr>
          <w:rFonts w:ascii="Verdana" w:hAnsi="Verdana"/>
          <w:b/>
          <w:sz w:val="20"/>
          <w:szCs w:val="20"/>
          <w:lang w:val="it-CH"/>
        </w:rPr>
        <w:t>me</w:t>
      </w:r>
      <w:r w:rsidRPr="00AE5550">
        <w:rPr>
          <w:rFonts w:ascii="Verdana" w:hAnsi="Verdana"/>
          <w:b/>
          <w:sz w:val="20"/>
          <w:szCs w:val="20"/>
          <w:lang w:val="it-CH"/>
        </w:rPr>
        <w:t>nte all‘OPre del 17 giugno 201</w:t>
      </w:r>
      <w:r w:rsidR="00D21DC9">
        <w:rPr>
          <w:rFonts w:ascii="Verdana" w:hAnsi="Verdana"/>
          <w:b/>
          <w:sz w:val="20"/>
          <w:szCs w:val="20"/>
          <w:lang w:val="it-CH"/>
        </w:rPr>
        <w:t>5</w:t>
      </w:r>
      <w:r w:rsidRPr="00AE5550">
        <w:rPr>
          <w:rFonts w:ascii="Verdana" w:hAnsi="Verdana"/>
          <w:b/>
          <w:sz w:val="20"/>
          <w:szCs w:val="20"/>
          <w:lang w:val="it-CH"/>
        </w:rPr>
        <w:t xml:space="preserve"> e alle raccomandazioni della CTM del 21 settembre 2016 per: </w:t>
      </w:r>
    </w:p>
    <w:p w:rsidR="007A7FB2" w:rsidRPr="00AE5550" w:rsidRDefault="007A7FB2" w:rsidP="005967B6">
      <w:pPr>
        <w:rPr>
          <w:rFonts w:ascii="Verdana" w:hAnsi="Verdana"/>
          <w:b/>
          <w:sz w:val="20"/>
          <w:szCs w:val="20"/>
          <w:lang w:val="it-CH"/>
        </w:rPr>
      </w:pPr>
    </w:p>
    <w:p w:rsidR="007A7FB2" w:rsidRPr="00AE5550" w:rsidRDefault="007A7FB2" w:rsidP="005967B6">
      <w:pPr>
        <w:rPr>
          <w:rFonts w:ascii="Verdana" w:hAnsi="Verdana"/>
          <w:b/>
          <w:sz w:val="20"/>
          <w:szCs w:val="20"/>
          <w:lang w:val="it-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7393"/>
      </w:tblGrid>
      <w:tr w:rsidR="007A7FB2" w:rsidRPr="00AE5550" w:rsidTr="007A7FB2">
        <w:trPr>
          <w:trHeight w:val="340"/>
        </w:trPr>
        <w:tc>
          <w:tcPr>
            <w:tcW w:w="2668" w:type="dxa"/>
          </w:tcPr>
          <w:p w:rsidR="007A7FB2" w:rsidRPr="00AE5550" w:rsidRDefault="0017319A" w:rsidP="0017319A">
            <w:pPr>
              <w:spacing w:line="259" w:lineRule="auto"/>
              <w:rPr>
                <w:rFonts w:ascii="Verdana" w:hAnsi="Verdana"/>
                <w:b/>
                <w:sz w:val="20"/>
                <w:szCs w:val="20"/>
                <w:lang w:val="it-CH"/>
              </w:rPr>
            </w:pPr>
            <w:r w:rsidRPr="00AE5550">
              <w:rPr>
                <w:rFonts w:ascii="Verdana" w:hAnsi="Verdana"/>
                <w:b/>
                <w:sz w:val="20"/>
                <w:szCs w:val="20"/>
                <w:lang w:val="it-CH"/>
              </w:rPr>
              <w:t>Nome / Cognome</w:t>
            </w:r>
            <w:r w:rsidR="007A7FB2" w:rsidRPr="00AE5550">
              <w:rPr>
                <w:rFonts w:ascii="Verdana" w:hAnsi="Verdana"/>
                <w:b/>
                <w:sz w:val="20"/>
                <w:szCs w:val="20"/>
                <w:lang w:val="it-CH"/>
              </w:rPr>
              <w:t>:</w:t>
            </w:r>
          </w:p>
        </w:tc>
        <w:tc>
          <w:tcPr>
            <w:tcW w:w="7393" w:type="dxa"/>
          </w:tcPr>
          <w:p w:rsidR="007A7FB2" w:rsidRPr="00AE5550" w:rsidRDefault="007A7FB2" w:rsidP="007A7FB2">
            <w:pPr>
              <w:spacing w:line="259" w:lineRule="auto"/>
              <w:rPr>
                <w:rFonts w:ascii="Verdana" w:hAnsi="Verdana"/>
                <w:sz w:val="20"/>
                <w:szCs w:val="20"/>
                <w:lang w:val="it-CH"/>
              </w:rPr>
            </w:pPr>
            <w:r w:rsidRPr="00AE5550">
              <w:rPr>
                <w:rFonts w:ascii="Verdana" w:hAnsi="Verdana"/>
                <w:sz w:val="20"/>
                <w:szCs w:val="20"/>
                <w:lang w:val="it-CH"/>
              </w:rPr>
              <w:fldChar w:fldCharType="begin">
                <w:ffData>
                  <w:name w:val="Text1"/>
                  <w:enabled/>
                  <w:calcOnExit w:val="0"/>
                  <w:textInput/>
                </w:ffData>
              </w:fldChar>
            </w:r>
            <w:bookmarkStart w:id="1" w:name="Text1"/>
            <w:r w:rsidRPr="00AE5550">
              <w:rPr>
                <w:rFonts w:ascii="Verdana" w:hAnsi="Verdana"/>
                <w:sz w:val="20"/>
                <w:szCs w:val="20"/>
                <w:lang w:val="it-CH"/>
              </w:rPr>
              <w:instrText xml:space="preserve"> FORMTEXT </w:instrText>
            </w:r>
            <w:r w:rsidRPr="00AE5550">
              <w:rPr>
                <w:rFonts w:ascii="Verdana" w:hAnsi="Verdana"/>
                <w:sz w:val="20"/>
                <w:szCs w:val="20"/>
                <w:lang w:val="it-CH"/>
              </w:rPr>
            </w:r>
            <w:r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Pr="00AE5550">
              <w:rPr>
                <w:rFonts w:ascii="Verdana" w:hAnsi="Verdana"/>
                <w:sz w:val="20"/>
                <w:szCs w:val="20"/>
                <w:lang w:val="it-CH"/>
              </w:rPr>
              <w:fldChar w:fldCharType="end"/>
            </w:r>
            <w:bookmarkEnd w:id="1"/>
          </w:p>
        </w:tc>
      </w:tr>
      <w:tr w:rsidR="007A7FB2" w:rsidRPr="00AE5550" w:rsidTr="007A7FB2">
        <w:trPr>
          <w:trHeight w:val="340"/>
        </w:trPr>
        <w:tc>
          <w:tcPr>
            <w:tcW w:w="2668" w:type="dxa"/>
          </w:tcPr>
          <w:p w:rsidR="007A7FB2" w:rsidRPr="00AE5550" w:rsidRDefault="0017319A" w:rsidP="007A7FB2">
            <w:pPr>
              <w:spacing w:line="259" w:lineRule="auto"/>
              <w:rPr>
                <w:rFonts w:ascii="Verdana" w:hAnsi="Verdana"/>
                <w:b/>
                <w:sz w:val="20"/>
                <w:szCs w:val="20"/>
                <w:lang w:val="it-CH"/>
              </w:rPr>
            </w:pPr>
            <w:r w:rsidRPr="00AE5550">
              <w:rPr>
                <w:rFonts w:ascii="Verdana" w:hAnsi="Verdana"/>
                <w:b/>
                <w:sz w:val="20"/>
                <w:szCs w:val="20"/>
                <w:lang w:val="it-CH"/>
              </w:rPr>
              <w:t>Data di nascita</w:t>
            </w:r>
            <w:r w:rsidR="007A7FB2" w:rsidRPr="00AE5550">
              <w:rPr>
                <w:rFonts w:ascii="Verdana" w:hAnsi="Verdana"/>
                <w:b/>
                <w:sz w:val="20"/>
                <w:szCs w:val="20"/>
                <w:lang w:val="it-CH"/>
              </w:rPr>
              <w:t>:</w:t>
            </w:r>
          </w:p>
        </w:tc>
        <w:tc>
          <w:tcPr>
            <w:tcW w:w="7393" w:type="dxa"/>
          </w:tcPr>
          <w:p w:rsidR="007A7FB2" w:rsidRPr="00AE5550" w:rsidRDefault="007A7FB2" w:rsidP="007A7FB2">
            <w:pPr>
              <w:spacing w:line="259" w:lineRule="auto"/>
              <w:rPr>
                <w:rFonts w:ascii="Verdana" w:hAnsi="Verdana"/>
                <w:sz w:val="20"/>
                <w:szCs w:val="20"/>
                <w:lang w:val="it-CH"/>
              </w:rPr>
            </w:pPr>
            <w:r w:rsidRPr="00AE5550">
              <w:rPr>
                <w:rFonts w:ascii="Verdana" w:hAnsi="Verdana"/>
                <w:sz w:val="20"/>
                <w:szCs w:val="20"/>
                <w:lang w:val="it-CH"/>
              </w:rPr>
              <w:fldChar w:fldCharType="begin">
                <w:ffData>
                  <w:name w:val="Text1"/>
                  <w:enabled/>
                  <w:calcOnExit w:val="0"/>
                  <w:textInput/>
                </w:ffData>
              </w:fldChar>
            </w:r>
            <w:r w:rsidRPr="00AE5550">
              <w:rPr>
                <w:rFonts w:ascii="Verdana" w:hAnsi="Verdana"/>
                <w:sz w:val="20"/>
                <w:szCs w:val="20"/>
                <w:lang w:val="it-CH"/>
              </w:rPr>
              <w:instrText xml:space="preserve"> FORMTEXT </w:instrText>
            </w:r>
            <w:r w:rsidRPr="00AE5550">
              <w:rPr>
                <w:rFonts w:ascii="Verdana" w:hAnsi="Verdana"/>
                <w:sz w:val="20"/>
                <w:szCs w:val="20"/>
                <w:lang w:val="it-CH"/>
              </w:rPr>
            </w:r>
            <w:r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Pr="00AE5550">
              <w:rPr>
                <w:rFonts w:ascii="Verdana" w:hAnsi="Verdana"/>
                <w:sz w:val="20"/>
                <w:szCs w:val="20"/>
                <w:lang w:val="it-CH"/>
              </w:rPr>
              <w:fldChar w:fldCharType="end"/>
            </w:r>
          </w:p>
        </w:tc>
      </w:tr>
      <w:tr w:rsidR="007A7FB2" w:rsidRPr="00AE5550" w:rsidTr="007A7FB2">
        <w:trPr>
          <w:trHeight w:val="340"/>
        </w:trPr>
        <w:tc>
          <w:tcPr>
            <w:tcW w:w="2668" w:type="dxa"/>
          </w:tcPr>
          <w:p w:rsidR="007A7FB2" w:rsidRPr="00AE5550" w:rsidRDefault="0017319A" w:rsidP="007A7FB2">
            <w:pPr>
              <w:spacing w:line="259" w:lineRule="auto"/>
              <w:rPr>
                <w:rFonts w:ascii="Verdana" w:hAnsi="Verdana"/>
                <w:b/>
                <w:sz w:val="20"/>
                <w:szCs w:val="20"/>
                <w:lang w:val="it-CH"/>
              </w:rPr>
            </w:pPr>
            <w:r w:rsidRPr="00AE5550">
              <w:rPr>
                <w:rFonts w:ascii="Verdana" w:hAnsi="Verdana"/>
                <w:b/>
                <w:sz w:val="20"/>
                <w:szCs w:val="20"/>
                <w:lang w:val="it-CH"/>
              </w:rPr>
              <w:t>Numero d‘assicurato</w:t>
            </w:r>
            <w:r w:rsidR="007A7FB2" w:rsidRPr="00AE5550">
              <w:rPr>
                <w:rFonts w:ascii="Verdana" w:hAnsi="Verdana"/>
                <w:b/>
                <w:sz w:val="20"/>
                <w:szCs w:val="20"/>
                <w:lang w:val="it-CH"/>
              </w:rPr>
              <w:t>:</w:t>
            </w:r>
          </w:p>
        </w:tc>
        <w:tc>
          <w:tcPr>
            <w:tcW w:w="7393" w:type="dxa"/>
          </w:tcPr>
          <w:p w:rsidR="007A7FB2" w:rsidRPr="00AE5550" w:rsidRDefault="007A7FB2" w:rsidP="007A7FB2">
            <w:pPr>
              <w:spacing w:line="259" w:lineRule="auto"/>
              <w:rPr>
                <w:rFonts w:ascii="Verdana" w:hAnsi="Verdana"/>
                <w:sz w:val="20"/>
                <w:szCs w:val="20"/>
                <w:lang w:val="it-CH"/>
              </w:rPr>
            </w:pPr>
            <w:r w:rsidRPr="00AE5550">
              <w:rPr>
                <w:rFonts w:ascii="Verdana" w:hAnsi="Verdana"/>
                <w:sz w:val="20"/>
                <w:szCs w:val="20"/>
                <w:lang w:val="it-CH"/>
              </w:rPr>
              <w:fldChar w:fldCharType="begin">
                <w:ffData>
                  <w:name w:val="Text1"/>
                  <w:enabled/>
                  <w:calcOnExit w:val="0"/>
                  <w:textInput/>
                </w:ffData>
              </w:fldChar>
            </w:r>
            <w:r w:rsidRPr="00AE5550">
              <w:rPr>
                <w:rFonts w:ascii="Verdana" w:hAnsi="Verdana"/>
                <w:sz w:val="20"/>
                <w:szCs w:val="20"/>
                <w:lang w:val="it-CH"/>
              </w:rPr>
              <w:instrText xml:space="preserve"> FORMTEXT </w:instrText>
            </w:r>
            <w:r w:rsidRPr="00AE5550">
              <w:rPr>
                <w:rFonts w:ascii="Verdana" w:hAnsi="Verdana"/>
                <w:sz w:val="20"/>
                <w:szCs w:val="20"/>
                <w:lang w:val="it-CH"/>
              </w:rPr>
            </w:r>
            <w:r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Pr="00AE5550">
              <w:rPr>
                <w:rFonts w:ascii="Verdana" w:hAnsi="Verdana"/>
                <w:sz w:val="20"/>
                <w:szCs w:val="20"/>
                <w:lang w:val="it-CH"/>
              </w:rPr>
              <w:fldChar w:fldCharType="end"/>
            </w:r>
          </w:p>
        </w:tc>
      </w:tr>
      <w:tr w:rsidR="007A7FB2" w:rsidRPr="00AE5550" w:rsidTr="007A7FB2">
        <w:trPr>
          <w:trHeight w:val="340"/>
        </w:trPr>
        <w:tc>
          <w:tcPr>
            <w:tcW w:w="2668" w:type="dxa"/>
          </w:tcPr>
          <w:p w:rsidR="007A7FB2" w:rsidRPr="00AE5550" w:rsidRDefault="0017319A" w:rsidP="007A7FB2">
            <w:pPr>
              <w:spacing w:line="259" w:lineRule="auto"/>
              <w:rPr>
                <w:rFonts w:ascii="Verdana" w:hAnsi="Verdana"/>
                <w:b/>
                <w:sz w:val="20"/>
                <w:szCs w:val="20"/>
                <w:lang w:val="it-CH"/>
              </w:rPr>
            </w:pPr>
            <w:r w:rsidRPr="00AE5550">
              <w:rPr>
                <w:rFonts w:ascii="Verdana" w:hAnsi="Verdana"/>
                <w:b/>
                <w:sz w:val="20"/>
                <w:szCs w:val="20"/>
                <w:lang w:val="it-CH"/>
              </w:rPr>
              <w:t>Numero infortunio</w:t>
            </w:r>
            <w:r w:rsidR="007A7FB2" w:rsidRPr="00AE5550">
              <w:rPr>
                <w:rFonts w:ascii="Verdana" w:hAnsi="Verdana"/>
                <w:b/>
                <w:sz w:val="20"/>
                <w:szCs w:val="20"/>
                <w:lang w:val="it-CH"/>
              </w:rPr>
              <w:t>:</w:t>
            </w:r>
          </w:p>
        </w:tc>
        <w:tc>
          <w:tcPr>
            <w:tcW w:w="7393" w:type="dxa"/>
          </w:tcPr>
          <w:p w:rsidR="007A7FB2" w:rsidRPr="00AE5550" w:rsidRDefault="007A7FB2" w:rsidP="007A7FB2">
            <w:pPr>
              <w:spacing w:line="259" w:lineRule="auto"/>
              <w:rPr>
                <w:rFonts w:ascii="Verdana" w:hAnsi="Verdana"/>
                <w:sz w:val="20"/>
                <w:szCs w:val="20"/>
                <w:lang w:val="it-CH"/>
              </w:rPr>
            </w:pPr>
            <w:r w:rsidRPr="00AE5550">
              <w:rPr>
                <w:rFonts w:ascii="Verdana" w:hAnsi="Verdana"/>
                <w:sz w:val="20"/>
                <w:szCs w:val="20"/>
                <w:lang w:val="it-CH"/>
              </w:rPr>
              <w:fldChar w:fldCharType="begin">
                <w:ffData>
                  <w:name w:val="Text1"/>
                  <w:enabled/>
                  <w:calcOnExit w:val="0"/>
                  <w:textInput/>
                </w:ffData>
              </w:fldChar>
            </w:r>
            <w:r w:rsidRPr="00AE5550">
              <w:rPr>
                <w:rFonts w:ascii="Verdana" w:hAnsi="Verdana"/>
                <w:sz w:val="20"/>
                <w:szCs w:val="20"/>
                <w:lang w:val="it-CH"/>
              </w:rPr>
              <w:instrText xml:space="preserve"> FORMTEXT </w:instrText>
            </w:r>
            <w:r w:rsidRPr="00AE5550">
              <w:rPr>
                <w:rFonts w:ascii="Verdana" w:hAnsi="Verdana"/>
                <w:sz w:val="20"/>
                <w:szCs w:val="20"/>
                <w:lang w:val="it-CH"/>
              </w:rPr>
            </w:r>
            <w:r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Pr="00AE5550">
              <w:rPr>
                <w:rFonts w:ascii="Verdana" w:hAnsi="Verdana"/>
                <w:sz w:val="20"/>
                <w:szCs w:val="20"/>
                <w:lang w:val="it-CH"/>
              </w:rPr>
              <w:fldChar w:fldCharType="end"/>
            </w:r>
          </w:p>
        </w:tc>
      </w:tr>
      <w:tr w:rsidR="007A7FB2" w:rsidRPr="00AE5550" w:rsidTr="007A7FB2">
        <w:trPr>
          <w:trHeight w:val="340"/>
        </w:trPr>
        <w:tc>
          <w:tcPr>
            <w:tcW w:w="2668" w:type="dxa"/>
          </w:tcPr>
          <w:p w:rsidR="007A7FB2" w:rsidRPr="00AE5550" w:rsidRDefault="0017319A" w:rsidP="007A7FB2">
            <w:pPr>
              <w:spacing w:line="259" w:lineRule="auto"/>
              <w:rPr>
                <w:rFonts w:ascii="Verdana" w:hAnsi="Verdana"/>
                <w:b/>
                <w:sz w:val="20"/>
                <w:szCs w:val="20"/>
                <w:lang w:val="it-CH"/>
              </w:rPr>
            </w:pPr>
            <w:r w:rsidRPr="00AE5550">
              <w:rPr>
                <w:rFonts w:ascii="Verdana" w:hAnsi="Verdana"/>
                <w:b/>
                <w:sz w:val="20"/>
                <w:szCs w:val="20"/>
                <w:lang w:val="it-CH"/>
              </w:rPr>
              <w:t>Diagnosi</w:t>
            </w:r>
            <w:r w:rsidR="007A7FB2" w:rsidRPr="00AE5550">
              <w:rPr>
                <w:rFonts w:ascii="Verdana" w:hAnsi="Verdana"/>
                <w:b/>
                <w:sz w:val="20"/>
                <w:szCs w:val="20"/>
                <w:lang w:val="it-CH"/>
              </w:rPr>
              <w:t>:</w:t>
            </w:r>
          </w:p>
        </w:tc>
        <w:tc>
          <w:tcPr>
            <w:tcW w:w="7393" w:type="dxa"/>
          </w:tcPr>
          <w:p w:rsidR="007A7FB2" w:rsidRPr="00AE5550" w:rsidRDefault="007A7FB2" w:rsidP="007A7FB2">
            <w:pPr>
              <w:spacing w:line="259" w:lineRule="auto"/>
              <w:rPr>
                <w:rFonts w:ascii="Verdana" w:hAnsi="Verdana"/>
                <w:sz w:val="20"/>
                <w:szCs w:val="20"/>
                <w:lang w:val="it-CH"/>
              </w:rPr>
            </w:pPr>
            <w:r w:rsidRPr="00AE5550">
              <w:rPr>
                <w:rFonts w:ascii="Verdana" w:hAnsi="Verdana"/>
                <w:sz w:val="20"/>
                <w:szCs w:val="20"/>
                <w:lang w:val="it-CH"/>
              </w:rPr>
              <w:fldChar w:fldCharType="begin">
                <w:ffData>
                  <w:name w:val="Text1"/>
                  <w:enabled/>
                  <w:calcOnExit w:val="0"/>
                  <w:textInput/>
                </w:ffData>
              </w:fldChar>
            </w:r>
            <w:r w:rsidRPr="00AE5550">
              <w:rPr>
                <w:rFonts w:ascii="Verdana" w:hAnsi="Verdana"/>
                <w:sz w:val="20"/>
                <w:szCs w:val="20"/>
                <w:lang w:val="it-CH"/>
              </w:rPr>
              <w:instrText xml:space="preserve"> FORMTEXT </w:instrText>
            </w:r>
            <w:r w:rsidRPr="00AE5550">
              <w:rPr>
                <w:rFonts w:ascii="Verdana" w:hAnsi="Verdana"/>
                <w:sz w:val="20"/>
                <w:szCs w:val="20"/>
                <w:lang w:val="it-CH"/>
              </w:rPr>
            </w:r>
            <w:r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Pr="00AE5550">
              <w:rPr>
                <w:rFonts w:ascii="Verdana" w:hAnsi="Verdana"/>
                <w:sz w:val="20"/>
                <w:szCs w:val="20"/>
                <w:lang w:val="it-CH"/>
              </w:rPr>
              <w:fldChar w:fldCharType="end"/>
            </w:r>
          </w:p>
        </w:tc>
      </w:tr>
      <w:tr w:rsidR="007A7FB2" w:rsidRPr="005A1597" w:rsidTr="007A7FB2">
        <w:trPr>
          <w:trHeight w:val="340"/>
        </w:trPr>
        <w:tc>
          <w:tcPr>
            <w:tcW w:w="2668" w:type="dxa"/>
          </w:tcPr>
          <w:p w:rsidR="007A7FB2" w:rsidRPr="00AE5550" w:rsidRDefault="0017319A" w:rsidP="007A7FB2">
            <w:pPr>
              <w:spacing w:line="259" w:lineRule="auto"/>
              <w:rPr>
                <w:rFonts w:ascii="Verdana" w:hAnsi="Verdana"/>
                <w:b/>
                <w:sz w:val="20"/>
                <w:szCs w:val="20"/>
                <w:lang w:val="it-CH"/>
              </w:rPr>
            </w:pPr>
            <w:r w:rsidRPr="00AE5550">
              <w:rPr>
                <w:rFonts w:ascii="Verdana" w:hAnsi="Verdana"/>
                <w:b/>
                <w:sz w:val="20"/>
                <w:szCs w:val="20"/>
                <w:lang w:val="it-CH"/>
              </w:rPr>
              <w:t>Trattamento</w:t>
            </w:r>
            <w:r w:rsidR="007A7FB2" w:rsidRPr="00AE5550">
              <w:rPr>
                <w:rFonts w:ascii="Verdana" w:hAnsi="Verdana"/>
                <w:b/>
                <w:sz w:val="20"/>
                <w:szCs w:val="20"/>
                <w:lang w:val="it-CH"/>
              </w:rPr>
              <w:t>:</w:t>
            </w:r>
          </w:p>
        </w:tc>
        <w:tc>
          <w:tcPr>
            <w:tcW w:w="7393" w:type="dxa"/>
          </w:tcPr>
          <w:p w:rsidR="007A7FB2" w:rsidRPr="00AE5550" w:rsidRDefault="0017319A" w:rsidP="00AE5550">
            <w:pPr>
              <w:pStyle w:val="Default"/>
              <w:rPr>
                <w:rFonts w:ascii="Verdana" w:hAnsi="Verdana"/>
                <w:sz w:val="20"/>
                <w:szCs w:val="20"/>
                <w:lang w:val="it-CH"/>
              </w:rPr>
            </w:pPr>
            <w:r w:rsidRPr="00AE5550">
              <w:rPr>
                <w:rFonts w:ascii="Verdana" w:hAnsi="Verdana"/>
                <w:sz w:val="20"/>
                <w:szCs w:val="20"/>
                <w:lang w:val="it-CH"/>
              </w:rPr>
              <w:t xml:space="preserve">Talamotomia </w:t>
            </w:r>
            <w:r w:rsidR="00AE5550">
              <w:rPr>
                <w:rFonts w:ascii="Verdana" w:hAnsi="Verdana"/>
                <w:sz w:val="20"/>
                <w:szCs w:val="20"/>
                <w:lang w:val="it-CH"/>
              </w:rPr>
              <w:t>centrale</w:t>
            </w:r>
            <w:r w:rsidRPr="00AE5550">
              <w:rPr>
                <w:rFonts w:ascii="Verdana" w:hAnsi="Verdana"/>
                <w:sz w:val="20"/>
                <w:szCs w:val="20"/>
                <w:lang w:val="it-CH"/>
              </w:rPr>
              <w:t xml:space="preserve"> laterale a </w:t>
            </w:r>
            <w:r w:rsidR="007A7FB2" w:rsidRPr="00AE5550">
              <w:rPr>
                <w:rFonts w:ascii="Verdana" w:hAnsi="Verdana"/>
                <w:sz w:val="20"/>
                <w:szCs w:val="20"/>
                <w:lang w:val="it-CH"/>
              </w:rPr>
              <w:fldChar w:fldCharType="begin">
                <w:ffData>
                  <w:name w:val="Text1"/>
                  <w:enabled/>
                  <w:calcOnExit w:val="0"/>
                  <w:textInput/>
                </w:ffData>
              </w:fldChar>
            </w:r>
            <w:r w:rsidR="007A7FB2" w:rsidRPr="00AE5550">
              <w:rPr>
                <w:rFonts w:ascii="Verdana" w:hAnsi="Verdana"/>
                <w:sz w:val="20"/>
                <w:szCs w:val="20"/>
                <w:lang w:val="it-CH"/>
              </w:rPr>
              <w:instrText xml:space="preserve"> FORMTEXT </w:instrText>
            </w:r>
            <w:r w:rsidR="007A7FB2" w:rsidRPr="00AE5550">
              <w:rPr>
                <w:rFonts w:ascii="Verdana" w:hAnsi="Verdana"/>
                <w:sz w:val="20"/>
                <w:szCs w:val="20"/>
                <w:lang w:val="it-CH"/>
              </w:rPr>
            </w:r>
            <w:r w:rsidR="007A7FB2" w:rsidRPr="00AE5550">
              <w:rPr>
                <w:rFonts w:ascii="Verdana" w:hAnsi="Verdana"/>
                <w:sz w:val="20"/>
                <w:szCs w:val="20"/>
                <w:lang w:val="it-CH"/>
              </w:rPr>
              <w:fldChar w:fldCharType="separate"/>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0B185E" w:rsidRPr="00AE5550">
              <w:rPr>
                <w:rFonts w:ascii="Verdana" w:hAnsi="Verdana"/>
                <w:noProof/>
                <w:sz w:val="20"/>
                <w:szCs w:val="20"/>
                <w:lang w:val="it-CH"/>
              </w:rPr>
              <w:t> </w:t>
            </w:r>
            <w:r w:rsidR="007A7FB2" w:rsidRPr="00AE5550">
              <w:rPr>
                <w:rFonts w:ascii="Verdana" w:hAnsi="Verdana"/>
                <w:sz w:val="20"/>
                <w:szCs w:val="20"/>
                <w:lang w:val="it-CH"/>
              </w:rPr>
              <w:fldChar w:fldCharType="end"/>
            </w:r>
            <w:r w:rsidR="007A7FB2" w:rsidRPr="00AE5550">
              <w:rPr>
                <w:rFonts w:ascii="Verdana" w:hAnsi="Verdana"/>
                <w:sz w:val="20"/>
                <w:szCs w:val="20"/>
                <w:lang w:val="it-CH"/>
              </w:rPr>
              <w:t xml:space="preserve"> </w:t>
            </w:r>
            <w:r w:rsidRPr="00AE5550">
              <w:rPr>
                <w:rFonts w:ascii="Verdana" w:hAnsi="Verdana"/>
                <w:sz w:val="20"/>
                <w:szCs w:val="20"/>
                <w:lang w:val="it-CH"/>
              </w:rPr>
              <w:t>mediante trattamento con ultrasuoni focalizzati guidati dalla risonanza magnetica (MRgFUS)</w:t>
            </w:r>
            <w:r w:rsidR="007A7FB2" w:rsidRPr="00AE5550">
              <w:rPr>
                <w:rFonts w:ascii="Verdana" w:hAnsi="Verdana"/>
                <w:sz w:val="20"/>
                <w:szCs w:val="20"/>
                <w:lang w:val="it-CH"/>
              </w:rPr>
              <w:t xml:space="preserve"> </w:t>
            </w:r>
          </w:p>
        </w:tc>
      </w:tr>
      <w:tr w:rsidR="00633CDA" w:rsidRPr="005A1597" w:rsidTr="00633CDA">
        <w:trPr>
          <w:trHeight w:val="340"/>
        </w:trPr>
        <w:tc>
          <w:tcPr>
            <w:tcW w:w="2668" w:type="dxa"/>
            <w:vAlign w:val="center"/>
          </w:tcPr>
          <w:p w:rsidR="00633CDA" w:rsidRPr="00AE5550" w:rsidRDefault="00633CDA" w:rsidP="00633CDA">
            <w:pPr>
              <w:spacing w:line="259" w:lineRule="auto"/>
              <w:rPr>
                <w:rFonts w:ascii="Verdana" w:hAnsi="Verdana"/>
                <w:b/>
                <w:sz w:val="20"/>
                <w:szCs w:val="20"/>
                <w:lang w:val="it-CH"/>
              </w:rPr>
            </w:pPr>
          </w:p>
        </w:tc>
        <w:tc>
          <w:tcPr>
            <w:tcW w:w="7393" w:type="dxa"/>
            <w:vAlign w:val="center"/>
          </w:tcPr>
          <w:p w:rsidR="00633CDA" w:rsidRPr="00AE5550" w:rsidRDefault="00633CDA" w:rsidP="0017319A">
            <w:pPr>
              <w:spacing w:line="259" w:lineRule="auto"/>
              <w:rPr>
                <w:rFonts w:ascii="Verdana" w:hAnsi="Verdana"/>
                <w:sz w:val="15"/>
                <w:szCs w:val="15"/>
                <w:lang w:val="it-CH"/>
              </w:rPr>
            </w:pPr>
            <w:r w:rsidRPr="00AE5550">
              <w:rPr>
                <w:rFonts w:ascii="Verdana" w:hAnsi="Verdana"/>
                <w:sz w:val="15"/>
                <w:szCs w:val="15"/>
                <w:lang w:val="it-CH"/>
              </w:rPr>
              <w:t>(</w:t>
            </w:r>
            <w:r w:rsidR="0017319A" w:rsidRPr="00AE5550">
              <w:rPr>
                <w:rFonts w:ascii="Verdana" w:hAnsi="Verdana"/>
                <w:sz w:val="15"/>
                <w:szCs w:val="15"/>
                <w:lang w:val="it-CH"/>
              </w:rPr>
              <w:t xml:space="preserve">Con il tasto F11 oppure </w:t>
            </w:r>
            <w:r w:rsidR="00EB41E3" w:rsidRPr="00AE5550">
              <w:rPr>
                <w:rFonts w:ascii="Verdana" w:hAnsi="Verdana"/>
                <w:sz w:val="15"/>
                <w:szCs w:val="15"/>
                <w:lang w:val="it-CH"/>
              </w:rPr>
              <w:t xml:space="preserve">Shift+F11 </w:t>
            </w:r>
            <w:r w:rsidR="0017319A" w:rsidRPr="00AE5550">
              <w:rPr>
                <w:rFonts w:ascii="Verdana" w:hAnsi="Verdana"/>
                <w:sz w:val="15"/>
                <w:szCs w:val="15"/>
                <w:lang w:val="it-CH"/>
              </w:rPr>
              <w:t>è possibile passare da un campo all‘altro</w:t>
            </w:r>
            <w:r w:rsidRPr="00AE5550">
              <w:rPr>
                <w:rFonts w:ascii="Verdana" w:hAnsi="Verdana"/>
                <w:sz w:val="15"/>
                <w:szCs w:val="15"/>
                <w:lang w:val="it-CH"/>
              </w:rPr>
              <w:t>.)</w:t>
            </w:r>
          </w:p>
        </w:tc>
      </w:tr>
    </w:tbl>
    <w:p w:rsidR="00B52DA0" w:rsidRPr="00AE5550" w:rsidRDefault="00B52DA0" w:rsidP="005967B6">
      <w:pPr>
        <w:rPr>
          <w:rFonts w:ascii="Verdana" w:hAnsi="Verdana"/>
          <w:sz w:val="20"/>
          <w:szCs w:val="20"/>
          <w:lang w:val="it-CH"/>
        </w:rPr>
      </w:pPr>
    </w:p>
    <w:p w:rsidR="00221DE6" w:rsidRPr="00AE5550" w:rsidRDefault="00221DE6" w:rsidP="005967B6">
      <w:pPr>
        <w:rPr>
          <w:rFonts w:ascii="Verdana" w:hAnsi="Verdana"/>
          <w:sz w:val="20"/>
          <w:szCs w:val="20"/>
          <w:lang w:val="it-CH"/>
        </w:rPr>
      </w:pPr>
    </w:p>
    <w:p w:rsidR="00B52DA0" w:rsidRPr="00AE5550" w:rsidRDefault="0017319A" w:rsidP="001158D9">
      <w:pPr>
        <w:spacing w:after="240" w:line="259" w:lineRule="auto"/>
        <w:rPr>
          <w:rFonts w:ascii="Verdana" w:hAnsi="Verdana"/>
          <w:sz w:val="20"/>
          <w:szCs w:val="20"/>
          <w:lang w:val="it-CH"/>
        </w:rPr>
      </w:pPr>
      <w:r w:rsidRPr="00AE5550">
        <w:rPr>
          <w:rFonts w:ascii="Verdana" w:hAnsi="Verdana"/>
          <w:sz w:val="20"/>
          <w:szCs w:val="20"/>
          <w:lang w:val="it-CH"/>
        </w:rPr>
        <w:t xml:space="preserve">Gentili signore, egregi signori, </w:t>
      </w:r>
    </w:p>
    <w:p w:rsidR="004A40BD" w:rsidRPr="00AE5550" w:rsidRDefault="0017319A" w:rsidP="007A7FB2">
      <w:pPr>
        <w:spacing w:after="160" w:line="259" w:lineRule="auto"/>
        <w:jc w:val="both"/>
        <w:rPr>
          <w:rFonts w:ascii="Verdana" w:hAnsi="Verdana"/>
          <w:sz w:val="20"/>
          <w:szCs w:val="20"/>
          <w:lang w:val="it-CH"/>
        </w:rPr>
      </w:pPr>
      <w:r w:rsidRPr="00AE5550">
        <w:rPr>
          <w:rFonts w:ascii="Verdana" w:hAnsi="Verdana"/>
          <w:sz w:val="20"/>
          <w:szCs w:val="20"/>
          <w:lang w:val="it-CH"/>
        </w:rPr>
        <w:t xml:space="preserve">L’Ordinanza del DFI del </w:t>
      </w:r>
      <w:r w:rsidR="00D21DC9">
        <w:rPr>
          <w:rFonts w:ascii="Verdana" w:hAnsi="Verdana"/>
          <w:sz w:val="20"/>
          <w:szCs w:val="20"/>
          <w:lang w:val="it-CH"/>
        </w:rPr>
        <w:t>17 giugno 2015</w:t>
      </w:r>
      <w:r w:rsidRPr="00AE5550">
        <w:rPr>
          <w:rFonts w:ascii="Verdana" w:hAnsi="Verdana"/>
          <w:sz w:val="20"/>
          <w:szCs w:val="20"/>
          <w:lang w:val="it-CH"/>
        </w:rPr>
        <w:t xml:space="preserve"> sulle prestazioni dell'assicurazione obbligatoria delle cure medico-sanitarie </w:t>
      </w:r>
      <w:r w:rsidR="00D21DC9">
        <w:rPr>
          <w:rFonts w:ascii="Verdana" w:hAnsi="Verdana"/>
          <w:sz w:val="20"/>
          <w:szCs w:val="20"/>
          <w:lang w:val="it-CH"/>
        </w:rPr>
        <w:t>stabilisce</w:t>
      </w:r>
      <w:r w:rsidRPr="00AE5550">
        <w:rPr>
          <w:rFonts w:ascii="Verdana" w:hAnsi="Verdana"/>
          <w:sz w:val="20"/>
          <w:szCs w:val="20"/>
          <w:lang w:val="it-CH"/>
        </w:rPr>
        <w:t xml:space="preserve"> le prestazioni obbligatorie per la neurochirurgica funzionale con ultrasuoni per il</w:t>
      </w:r>
      <w:r w:rsidR="00414ED1" w:rsidRPr="00AE5550">
        <w:rPr>
          <w:rFonts w:ascii="Verdana" w:hAnsi="Verdana"/>
          <w:sz w:val="20"/>
          <w:szCs w:val="20"/>
          <w:lang w:val="it-CH"/>
        </w:rPr>
        <w:t xml:space="preserve"> </w:t>
      </w:r>
      <w:r w:rsidRPr="00AE5550">
        <w:rPr>
          <w:rFonts w:ascii="Verdana" w:hAnsi="Verdana"/>
          <w:b/>
          <w:sz w:val="20"/>
          <w:szCs w:val="20"/>
          <w:lang w:val="it-CH"/>
        </w:rPr>
        <w:t>trattamento di</w:t>
      </w:r>
      <w:r w:rsidR="00072CBA" w:rsidRPr="00AE5550">
        <w:rPr>
          <w:rFonts w:ascii="Verdana" w:hAnsi="Verdana"/>
          <w:b/>
          <w:sz w:val="20"/>
          <w:szCs w:val="20"/>
          <w:lang w:val="it-CH"/>
        </w:rPr>
        <w:t xml:space="preserve"> </w:t>
      </w:r>
      <w:r w:rsidR="004608DF" w:rsidRPr="00AE5550">
        <w:rPr>
          <w:rFonts w:ascii="Verdana" w:hAnsi="Verdana"/>
          <w:b/>
          <w:sz w:val="20"/>
          <w:szCs w:val="20"/>
          <w:lang w:val="it-CH"/>
        </w:rPr>
        <w:t>„</w:t>
      </w:r>
      <w:r w:rsidRPr="00AE5550">
        <w:rPr>
          <w:rFonts w:ascii="Verdana" w:hAnsi="Verdana"/>
          <w:b/>
          <w:sz w:val="20"/>
          <w:szCs w:val="20"/>
          <w:lang w:val="it-CH"/>
        </w:rPr>
        <w:t>gravi dolori neuropatici cronici resistenti alle terapie</w:t>
      </w:r>
      <w:r w:rsidR="004608DF" w:rsidRPr="00AE5550">
        <w:rPr>
          <w:rFonts w:ascii="Verdana" w:hAnsi="Verdana"/>
          <w:b/>
          <w:sz w:val="20"/>
          <w:szCs w:val="20"/>
          <w:lang w:val="it-CH"/>
        </w:rPr>
        <w:t>“</w:t>
      </w:r>
      <w:r w:rsidR="00E92FC8" w:rsidRPr="00AE5550">
        <w:rPr>
          <w:rFonts w:ascii="Verdana" w:hAnsi="Verdana"/>
          <w:sz w:val="20"/>
          <w:szCs w:val="20"/>
          <w:lang w:val="it-CH"/>
        </w:rPr>
        <w:t xml:space="preserve">, </w:t>
      </w:r>
      <w:r w:rsidRPr="00AE5550">
        <w:rPr>
          <w:rFonts w:ascii="Verdana" w:hAnsi="Verdana"/>
          <w:sz w:val="20"/>
          <w:szCs w:val="20"/>
          <w:lang w:val="it-CH"/>
        </w:rPr>
        <w:t xml:space="preserve">ciò con la tenuta di un registro </w:t>
      </w:r>
      <w:r w:rsidR="00D21DC9">
        <w:rPr>
          <w:rFonts w:ascii="Verdana" w:hAnsi="Verdana"/>
          <w:sz w:val="20"/>
          <w:szCs w:val="20"/>
          <w:lang w:val="it-CH"/>
        </w:rPr>
        <w:t>di valutazione</w:t>
      </w:r>
      <w:r w:rsidRPr="00AE5550">
        <w:rPr>
          <w:rFonts w:ascii="Verdana" w:hAnsi="Verdana"/>
          <w:sz w:val="20"/>
          <w:szCs w:val="20"/>
          <w:lang w:val="it-CH"/>
        </w:rPr>
        <w:t xml:space="preserve"> da parte del centro curante. </w:t>
      </w:r>
    </w:p>
    <w:p w:rsidR="00B52DA0" w:rsidRPr="00AE5550" w:rsidRDefault="0017319A" w:rsidP="007A7FB2">
      <w:pPr>
        <w:spacing w:after="160" w:line="259" w:lineRule="auto"/>
        <w:jc w:val="both"/>
        <w:rPr>
          <w:rFonts w:ascii="Verdana" w:hAnsi="Verdana"/>
          <w:sz w:val="20"/>
          <w:szCs w:val="20"/>
          <w:lang w:val="it-CH"/>
        </w:rPr>
      </w:pPr>
      <w:r w:rsidRPr="00AE5550">
        <w:rPr>
          <w:rFonts w:ascii="Verdana" w:hAnsi="Verdana"/>
          <w:sz w:val="20"/>
          <w:szCs w:val="20"/>
          <w:lang w:val="it-CH"/>
        </w:rPr>
        <w:t>La Commissione delle tariffe mediche LAINF (CTM) consigl</w:t>
      </w:r>
      <w:r w:rsidR="00D21DC9">
        <w:rPr>
          <w:rFonts w:ascii="Verdana" w:hAnsi="Verdana"/>
          <w:sz w:val="20"/>
          <w:szCs w:val="20"/>
          <w:lang w:val="it-CH"/>
        </w:rPr>
        <w:t>ia l’assunzione della prestazione</w:t>
      </w:r>
      <w:r w:rsidRPr="00AE5550">
        <w:rPr>
          <w:rFonts w:ascii="Verdana" w:hAnsi="Verdana"/>
          <w:sz w:val="20"/>
          <w:szCs w:val="20"/>
          <w:lang w:val="it-CH"/>
        </w:rPr>
        <w:t xml:space="preserve"> per gli assicurati contro gli infortuni alle stesse premesse della OPre</w:t>
      </w:r>
      <w:r w:rsidR="007A7FB2" w:rsidRPr="00AE5550">
        <w:rPr>
          <w:rFonts w:ascii="Verdana" w:hAnsi="Verdana"/>
          <w:sz w:val="20"/>
          <w:szCs w:val="20"/>
          <w:lang w:val="it-CH"/>
        </w:rPr>
        <w:t xml:space="preserve">. </w:t>
      </w:r>
      <w:r w:rsidRPr="00AE5550">
        <w:rPr>
          <w:rFonts w:ascii="Verdana" w:hAnsi="Verdana"/>
          <w:sz w:val="20"/>
          <w:szCs w:val="20"/>
          <w:lang w:val="it-CH"/>
        </w:rPr>
        <w:t xml:space="preserve">L’Assicurazione militare </w:t>
      </w:r>
      <w:r w:rsidR="002C63A3">
        <w:rPr>
          <w:rFonts w:ascii="Verdana" w:hAnsi="Verdana"/>
          <w:sz w:val="20"/>
          <w:szCs w:val="20"/>
          <w:lang w:val="it-CH"/>
        </w:rPr>
        <w:t>ha</w:t>
      </w:r>
      <w:r w:rsidRPr="00AE5550">
        <w:rPr>
          <w:rFonts w:ascii="Verdana" w:hAnsi="Verdana"/>
          <w:sz w:val="20"/>
          <w:szCs w:val="20"/>
          <w:lang w:val="it-CH"/>
        </w:rPr>
        <w:t xml:space="preserve"> aderito a questa raccomandazione. </w:t>
      </w:r>
    </w:p>
    <w:p w:rsidR="00E603AC" w:rsidRPr="00AE5550" w:rsidRDefault="00D21DC9" w:rsidP="007A7FB2">
      <w:pPr>
        <w:spacing w:after="160" w:line="259" w:lineRule="auto"/>
        <w:jc w:val="both"/>
        <w:rPr>
          <w:rFonts w:ascii="Verdana" w:hAnsi="Verdana"/>
          <w:sz w:val="20"/>
          <w:szCs w:val="20"/>
          <w:lang w:val="it-CH"/>
        </w:rPr>
      </w:pPr>
      <w:r>
        <w:rPr>
          <w:rFonts w:ascii="Verdana" w:hAnsi="Verdana" w:cs="Arial"/>
          <w:sz w:val="20"/>
          <w:szCs w:val="20"/>
          <w:lang w:val="it-CH"/>
        </w:rPr>
        <w:t>L’esame</w:t>
      </w:r>
      <w:r w:rsidR="0017319A" w:rsidRPr="00AE5550">
        <w:rPr>
          <w:rFonts w:ascii="Verdana" w:hAnsi="Verdana" w:cs="Arial"/>
          <w:sz w:val="20"/>
          <w:szCs w:val="20"/>
          <w:lang w:val="it-CH"/>
        </w:rPr>
        <w:t xml:space="preserve"> e la valutazione clinica si fondano su un’anamnesi dettagliata dei dolori (incl. durata della sintomatologia – almeno un anno – e prova della resistenza alle terapie</w:t>
      </w:r>
      <w:r w:rsidR="00090377" w:rsidRPr="00AE5550">
        <w:rPr>
          <w:rFonts w:ascii="Verdana" w:hAnsi="Verdana"/>
          <w:sz w:val="20"/>
          <w:szCs w:val="20"/>
          <w:lang w:val="it-CH"/>
        </w:rPr>
        <w:t>)</w:t>
      </w:r>
      <w:r w:rsidR="00782F5F" w:rsidRPr="00AE5550">
        <w:rPr>
          <w:rFonts w:ascii="Verdana" w:hAnsi="Verdana" w:cs="Arial"/>
          <w:sz w:val="20"/>
          <w:szCs w:val="20"/>
          <w:lang w:val="it-CH"/>
        </w:rPr>
        <w:t>,</w:t>
      </w:r>
      <w:r w:rsidR="00090377" w:rsidRPr="00AE5550">
        <w:rPr>
          <w:rFonts w:ascii="Verdana" w:hAnsi="Verdana" w:cs="Arial"/>
          <w:sz w:val="20"/>
          <w:szCs w:val="20"/>
          <w:lang w:val="it-CH"/>
        </w:rPr>
        <w:t xml:space="preserve"> </w:t>
      </w:r>
      <w:r w:rsidR="0017319A" w:rsidRPr="00AE5550">
        <w:rPr>
          <w:rFonts w:ascii="Verdana" w:hAnsi="Verdana" w:cs="Arial"/>
          <w:sz w:val="20"/>
          <w:szCs w:val="20"/>
          <w:lang w:val="it-CH"/>
        </w:rPr>
        <w:t>su un esame neurologico, su un apprezzamento psicologico e sull’applicazione delle scale riconosciute</w:t>
      </w:r>
      <w:r w:rsidR="00782F5F" w:rsidRPr="00AE5550">
        <w:rPr>
          <w:rFonts w:ascii="Verdana" w:hAnsi="Verdana" w:cs="Arial"/>
          <w:sz w:val="20"/>
          <w:szCs w:val="20"/>
          <w:lang w:val="it-CH"/>
        </w:rPr>
        <w:t xml:space="preserve"> </w:t>
      </w:r>
      <w:r w:rsidR="00782F5F" w:rsidRPr="00AE5550">
        <w:rPr>
          <w:rFonts w:ascii="Verdana" w:hAnsi="Verdana"/>
          <w:sz w:val="20"/>
          <w:szCs w:val="20"/>
          <w:lang w:val="it-CH"/>
        </w:rPr>
        <w:t>(</w:t>
      </w:r>
      <w:r w:rsidR="009059DB" w:rsidRPr="00AE5550">
        <w:rPr>
          <w:rFonts w:ascii="Verdana" w:hAnsi="Verdana"/>
          <w:sz w:val="20"/>
          <w:szCs w:val="20"/>
          <w:lang w:val="it-CH"/>
        </w:rPr>
        <w:t>Visual Analogue Scale,</w:t>
      </w:r>
      <w:r w:rsidR="00F91EBA" w:rsidRPr="00AE5550">
        <w:rPr>
          <w:rFonts w:ascii="Verdana" w:hAnsi="Verdana"/>
          <w:sz w:val="20"/>
          <w:szCs w:val="20"/>
          <w:lang w:val="it-CH"/>
        </w:rPr>
        <w:t xml:space="preserve"> McGill P</w:t>
      </w:r>
      <w:r w:rsidR="009059DB" w:rsidRPr="00AE5550">
        <w:rPr>
          <w:rFonts w:ascii="Verdana" w:hAnsi="Verdana"/>
          <w:sz w:val="20"/>
          <w:szCs w:val="20"/>
          <w:lang w:val="it-CH"/>
        </w:rPr>
        <w:t xml:space="preserve">ain </w:t>
      </w:r>
      <w:r w:rsidR="00F91EBA" w:rsidRPr="00AE5550">
        <w:rPr>
          <w:rFonts w:ascii="Verdana" w:hAnsi="Verdana"/>
          <w:sz w:val="20"/>
          <w:szCs w:val="20"/>
          <w:lang w:val="it-CH"/>
        </w:rPr>
        <w:t>R</w:t>
      </w:r>
      <w:r w:rsidR="009059DB" w:rsidRPr="00AE5550">
        <w:rPr>
          <w:rFonts w:ascii="Verdana" w:hAnsi="Verdana"/>
          <w:sz w:val="20"/>
          <w:szCs w:val="20"/>
          <w:lang w:val="it-CH"/>
        </w:rPr>
        <w:t xml:space="preserve">ating </w:t>
      </w:r>
      <w:r w:rsidR="00F91EBA" w:rsidRPr="00AE5550">
        <w:rPr>
          <w:rFonts w:ascii="Verdana" w:hAnsi="Verdana"/>
          <w:sz w:val="20"/>
          <w:szCs w:val="20"/>
          <w:lang w:val="it-CH"/>
        </w:rPr>
        <w:t>I</w:t>
      </w:r>
      <w:r w:rsidR="009059DB" w:rsidRPr="00AE5550">
        <w:rPr>
          <w:rFonts w:ascii="Verdana" w:hAnsi="Verdana"/>
          <w:sz w:val="20"/>
          <w:szCs w:val="20"/>
          <w:lang w:val="it-CH"/>
        </w:rPr>
        <w:t>ndices</w:t>
      </w:r>
      <w:r w:rsidR="00F91EBA" w:rsidRPr="00AE5550">
        <w:rPr>
          <w:rFonts w:ascii="Verdana" w:hAnsi="Verdana"/>
          <w:sz w:val="20"/>
          <w:szCs w:val="20"/>
          <w:lang w:val="it-CH"/>
        </w:rPr>
        <w:t xml:space="preserve"> und P</w:t>
      </w:r>
      <w:r w:rsidR="009059DB" w:rsidRPr="00AE5550">
        <w:rPr>
          <w:rFonts w:ascii="Verdana" w:hAnsi="Verdana"/>
          <w:sz w:val="20"/>
          <w:szCs w:val="20"/>
          <w:lang w:val="it-CH"/>
        </w:rPr>
        <w:t xml:space="preserve">resent Pain </w:t>
      </w:r>
      <w:r w:rsidR="00F91EBA" w:rsidRPr="00AE5550">
        <w:rPr>
          <w:rFonts w:ascii="Verdana" w:hAnsi="Verdana"/>
          <w:sz w:val="20"/>
          <w:szCs w:val="20"/>
          <w:lang w:val="it-CH"/>
        </w:rPr>
        <w:t>I</w:t>
      </w:r>
      <w:r w:rsidR="009059DB" w:rsidRPr="00AE5550">
        <w:rPr>
          <w:rFonts w:ascii="Verdana" w:hAnsi="Verdana"/>
          <w:sz w:val="20"/>
          <w:szCs w:val="20"/>
          <w:lang w:val="it-CH"/>
        </w:rPr>
        <w:t>ntensity</w:t>
      </w:r>
      <w:r w:rsidR="00090377" w:rsidRPr="00AE5550">
        <w:rPr>
          <w:rFonts w:ascii="Verdana" w:hAnsi="Verdana"/>
          <w:sz w:val="20"/>
          <w:szCs w:val="20"/>
          <w:lang w:val="it-CH"/>
        </w:rPr>
        <w:t xml:space="preserve">, </w:t>
      </w:r>
      <w:r>
        <w:rPr>
          <w:rFonts w:ascii="Verdana" w:hAnsi="Verdana"/>
          <w:sz w:val="20"/>
          <w:szCs w:val="20"/>
          <w:lang w:val="it-CH"/>
        </w:rPr>
        <w:t>riduzione globale del dolore</w:t>
      </w:r>
      <w:r w:rsidR="00090377" w:rsidRPr="00AE5550">
        <w:rPr>
          <w:rFonts w:ascii="Verdana" w:hAnsi="Verdana"/>
          <w:sz w:val="20"/>
          <w:szCs w:val="20"/>
          <w:lang w:val="it-CH"/>
        </w:rPr>
        <w:t>)</w:t>
      </w:r>
      <w:r w:rsidR="00782F5F" w:rsidRPr="00AE5550">
        <w:rPr>
          <w:rFonts w:ascii="Verdana" w:hAnsi="Verdana"/>
          <w:sz w:val="20"/>
          <w:szCs w:val="20"/>
          <w:lang w:val="it-CH"/>
        </w:rPr>
        <w:t xml:space="preserve">. </w:t>
      </w:r>
      <w:r w:rsidR="00C0696E" w:rsidRPr="00AE5550">
        <w:rPr>
          <w:rFonts w:ascii="Verdana" w:hAnsi="Verdana"/>
          <w:sz w:val="20"/>
          <w:szCs w:val="20"/>
          <w:lang w:val="it-CH"/>
        </w:rPr>
        <w:t xml:space="preserve">A tale scopo è eseguita un’analisi neuropsicologica con EEG quantitativo </w:t>
      </w:r>
      <w:r w:rsidR="00E06BA0" w:rsidRPr="00AE5550">
        <w:rPr>
          <w:rFonts w:ascii="Verdana" w:hAnsi="Verdana"/>
          <w:sz w:val="20"/>
          <w:szCs w:val="20"/>
          <w:lang w:val="it-CH"/>
        </w:rPr>
        <w:t>(LORETA)</w:t>
      </w:r>
      <w:r w:rsidR="00782F5F" w:rsidRPr="00AE5550">
        <w:rPr>
          <w:rFonts w:ascii="Verdana" w:hAnsi="Verdana"/>
          <w:sz w:val="20"/>
          <w:szCs w:val="20"/>
          <w:lang w:val="it-CH"/>
        </w:rPr>
        <w:t>.</w:t>
      </w:r>
    </w:p>
    <w:p w:rsidR="00F97896" w:rsidRPr="00AE5550" w:rsidRDefault="00C0696E" w:rsidP="007A7FB2">
      <w:pPr>
        <w:spacing w:after="160" w:line="259" w:lineRule="auto"/>
        <w:jc w:val="both"/>
        <w:rPr>
          <w:rFonts w:ascii="Verdana" w:hAnsi="Verdana" w:cs="Arial"/>
          <w:sz w:val="20"/>
          <w:szCs w:val="20"/>
          <w:lang w:val="it-CH"/>
        </w:rPr>
      </w:pPr>
      <w:r w:rsidRPr="00AE5550">
        <w:rPr>
          <w:rFonts w:ascii="Verdana" w:hAnsi="Verdana" w:cs="Arial"/>
          <w:sz w:val="20"/>
          <w:szCs w:val="20"/>
          <w:lang w:val="it-CH"/>
        </w:rPr>
        <w:t>La situazione emozionale, la qualità della vita, l’indipendenza e le prestazioni cognitive sono determinate prima e dopo l’intervento con</w:t>
      </w:r>
      <w:r w:rsidR="00F97896" w:rsidRPr="00AE5550">
        <w:rPr>
          <w:rFonts w:ascii="Verdana" w:hAnsi="Verdana" w:cs="Arial"/>
          <w:sz w:val="20"/>
          <w:szCs w:val="20"/>
          <w:lang w:val="it-CH"/>
        </w:rPr>
        <w:t>:</w:t>
      </w:r>
    </w:p>
    <w:p w:rsidR="00F97896" w:rsidRPr="005A1597" w:rsidRDefault="00F97896" w:rsidP="00CC531C">
      <w:pPr>
        <w:pStyle w:val="Listenabsatz"/>
        <w:numPr>
          <w:ilvl w:val="0"/>
          <w:numId w:val="9"/>
        </w:numPr>
        <w:spacing w:after="120" w:line="259" w:lineRule="auto"/>
        <w:ind w:left="1134" w:hanging="498"/>
        <w:contextualSpacing w:val="0"/>
        <w:rPr>
          <w:rFonts w:ascii="Verdana" w:hAnsi="Verdana"/>
          <w:sz w:val="20"/>
          <w:szCs w:val="20"/>
          <w:lang w:val="en-US"/>
        </w:rPr>
      </w:pPr>
      <w:r w:rsidRPr="005A1597">
        <w:rPr>
          <w:rFonts w:ascii="Verdana" w:hAnsi="Verdana"/>
          <w:sz w:val="20"/>
          <w:szCs w:val="20"/>
          <w:lang w:val="en-US"/>
        </w:rPr>
        <w:t>Hospital Anxiety a</w:t>
      </w:r>
      <w:r w:rsidR="009059DB" w:rsidRPr="005A1597">
        <w:rPr>
          <w:rFonts w:ascii="Verdana" w:hAnsi="Verdana"/>
          <w:sz w:val="20"/>
          <w:szCs w:val="20"/>
          <w:lang w:val="en-US"/>
        </w:rPr>
        <w:t xml:space="preserve">nd Depression Scale </w:t>
      </w:r>
      <w:r w:rsidR="00C0696E" w:rsidRPr="005A1597">
        <w:rPr>
          <w:rFonts w:ascii="Verdana" w:hAnsi="Verdana"/>
          <w:sz w:val="20"/>
          <w:szCs w:val="20"/>
          <w:lang w:val="en-US"/>
        </w:rPr>
        <w:t>(HADS)</w:t>
      </w:r>
    </w:p>
    <w:p w:rsidR="00F97896" w:rsidRPr="005A1597" w:rsidRDefault="00F97896" w:rsidP="00CC531C">
      <w:pPr>
        <w:pStyle w:val="Listenabsatz"/>
        <w:numPr>
          <w:ilvl w:val="0"/>
          <w:numId w:val="9"/>
        </w:numPr>
        <w:spacing w:after="120" w:line="259" w:lineRule="auto"/>
        <w:ind w:left="1134" w:hanging="498"/>
        <w:contextualSpacing w:val="0"/>
        <w:rPr>
          <w:rFonts w:ascii="Verdana" w:hAnsi="Verdana"/>
          <w:sz w:val="20"/>
          <w:szCs w:val="20"/>
          <w:lang w:val="en-US"/>
        </w:rPr>
      </w:pPr>
      <w:r w:rsidRPr="005A1597">
        <w:rPr>
          <w:rFonts w:ascii="Verdana" w:hAnsi="Verdana"/>
          <w:sz w:val="20"/>
          <w:szCs w:val="20"/>
          <w:lang w:val="en-US"/>
        </w:rPr>
        <w:t>Qual</w:t>
      </w:r>
      <w:r w:rsidR="009059DB" w:rsidRPr="005A1597">
        <w:rPr>
          <w:rFonts w:ascii="Verdana" w:hAnsi="Verdana"/>
          <w:sz w:val="20"/>
          <w:szCs w:val="20"/>
          <w:lang w:val="en-US"/>
        </w:rPr>
        <w:t xml:space="preserve">ity of life scale </w:t>
      </w:r>
      <w:r w:rsidR="00C0696E" w:rsidRPr="005A1597">
        <w:rPr>
          <w:rFonts w:ascii="Verdana" w:hAnsi="Verdana"/>
          <w:sz w:val="20"/>
          <w:szCs w:val="20"/>
          <w:lang w:val="en-US"/>
        </w:rPr>
        <w:t>(</w:t>
      </w:r>
      <w:r w:rsidR="009059DB" w:rsidRPr="005A1597">
        <w:rPr>
          <w:rFonts w:ascii="Verdana" w:hAnsi="Verdana"/>
          <w:sz w:val="20"/>
          <w:szCs w:val="20"/>
          <w:lang w:val="en-US"/>
        </w:rPr>
        <w:t>WHOQOL-BREF</w:t>
      </w:r>
      <w:r w:rsidR="00C0696E" w:rsidRPr="005A1597">
        <w:rPr>
          <w:rFonts w:ascii="Verdana" w:hAnsi="Verdana"/>
          <w:sz w:val="20"/>
          <w:szCs w:val="20"/>
          <w:lang w:val="en-US"/>
        </w:rPr>
        <w:t>)</w:t>
      </w:r>
      <w:r w:rsidR="009059DB" w:rsidRPr="005A1597">
        <w:rPr>
          <w:rFonts w:ascii="Verdana" w:hAnsi="Verdana"/>
          <w:sz w:val="20"/>
          <w:szCs w:val="20"/>
          <w:lang w:val="en-US"/>
        </w:rPr>
        <w:t xml:space="preserve"> </w:t>
      </w:r>
    </w:p>
    <w:p w:rsidR="00F97896" w:rsidRPr="005A1597" w:rsidRDefault="00F97896" w:rsidP="00CC531C">
      <w:pPr>
        <w:pStyle w:val="Listenabsatz"/>
        <w:numPr>
          <w:ilvl w:val="0"/>
          <w:numId w:val="9"/>
        </w:numPr>
        <w:spacing w:after="120" w:line="259" w:lineRule="auto"/>
        <w:ind w:left="1134" w:hanging="498"/>
        <w:contextualSpacing w:val="0"/>
        <w:rPr>
          <w:rFonts w:ascii="Verdana" w:hAnsi="Verdana"/>
          <w:sz w:val="20"/>
          <w:szCs w:val="20"/>
          <w:lang w:val="en-US"/>
        </w:rPr>
      </w:pPr>
      <w:r w:rsidRPr="005A1597">
        <w:rPr>
          <w:rFonts w:ascii="Verdana" w:hAnsi="Verdana"/>
          <w:sz w:val="20"/>
          <w:szCs w:val="20"/>
          <w:lang w:val="en-US"/>
        </w:rPr>
        <w:t>Schwab &amp; England Activities o</w:t>
      </w:r>
      <w:r w:rsidR="009059DB" w:rsidRPr="005A1597">
        <w:rPr>
          <w:rFonts w:ascii="Verdana" w:hAnsi="Verdana"/>
          <w:sz w:val="20"/>
          <w:szCs w:val="20"/>
          <w:lang w:val="en-US"/>
        </w:rPr>
        <w:t xml:space="preserve">f </w:t>
      </w:r>
      <w:r w:rsidR="00C0696E" w:rsidRPr="005A1597">
        <w:rPr>
          <w:rFonts w:ascii="Verdana" w:hAnsi="Verdana"/>
          <w:sz w:val="20"/>
          <w:szCs w:val="20"/>
          <w:lang w:val="en-US"/>
        </w:rPr>
        <w:t>d</w:t>
      </w:r>
      <w:r w:rsidR="009059DB" w:rsidRPr="005A1597">
        <w:rPr>
          <w:rFonts w:ascii="Verdana" w:hAnsi="Verdana"/>
          <w:sz w:val="20"/>
          <w:szCs w:val="20"/>
          <w:lang w:val="en-US"/>
        </w:rPr>
        <w:t xml:space="preserve">aily </w:t>
      </w:r>
      <w:r w:rsidR="00C0696E" w:rsidRPr="005A1597">
        <w:rPr>
          <w:rFonts w:ascii="Verdana" w:hAnsi="Verdana"/>
          <w:sz w:val="20"/>
          <w:szCs w:val="20"/>
          <w:lang w:val="en-US"/>
        </w:rPr>
        <w:t>l</w:t>
      </w:r>
      <w:r w:rsidR="009059DB" w:rsidRPr="005A1597">
        <w:rPr>
          <w:rFonts w:ascii="Verdana" w:hAnsi="Verdana"/>
          <w:sz w:val="20"/>
          <w:szCs w:val="20"/>
          <w:lang w:val="en-US"/>
        </w:rPr>
        <w:t xml:space="preserve">iving </w:t>
      </w:r>
      <w:r w:rsidR="00C0696E" w:rsidRPr="005A1597">
        <w:rPr>
          <w:rFonts w:ascii="Verdana" w:hAnsi="Verdana"/>
          <w:sz w:val="20"/>
          <w:szCs w:val="20"/>
          <w:lang w:val="en-US"/>
        </w:rPr>
        <w:t>s</w:t>
      </w:r>
      <w:r w:rsidR="009059DB" w:rsidRPr="005A1597">
        <w:rPr>
          <w:rFonts w:ascii="Verdana" w:hAnsi="Verdana"/>
          <w:sz w:val="20"/>
          <w:szCs w:val="20"/>
          <w:lang w:val="en-US"/>
        </w:rPr>
        <w:t>cale</w:t>
      </w:r>
    </w:p>
    <w:p w:rsidR="00F97896" w:rsidRPr="00AE5550" w:rsidRDefault="00F97896" w:rsidP="00CC531C">
      <w:pPr>
        <w:pStyle w:val="Listenabsatz"/>
        <w:numPr>
          <w:ilvl w:val="0"/>
          <w:numId w:val="9"/>
        </w:numPr>
        <w:spacing w:after="120" w:line="259" w:lineRule="auto"/>
        <w:ind w:left="1134" w:hanging="498"/>
        <w:contextualSpacing w:val="0"/>
        <w:rPr>
          <w:rFonts w:ascii="Verdana" w:hAnsi="Verdana"/>
          <w:sz w:val="20"/>
          <w:szCs w:val="20"/>
          <w:lang w:val="it-CH"/>
        </w:rPr>
      </w:pPr>
      <w:r w:rsidRPr="00AE5550">
        <w:rPr>
          <w:rFonts w:ascii="Verdana" w:hAnsi="Verdana"/>
          <w:sz w:val="20"/>
          <w:szCs w:val="20"/>
          <w:lang w:val="it-CH"/>
        </w:rPr>
        <w:t>Montreal C</w:t>
      </w:r>
      <w:r w:rsidR="009059DB" w:rsidRPr="00AE5550">
        <w:rPr>
          <w:rFonts w:ascii="Verdana" w:hAnsi="Verdana"/>
          <w:sz w:val="20"/>
          <w:szCs w:val="20"/>
          <w:lang w:val="it-CH"/>
        </w:rPr>
        <w:t>ognitive Assessment</w:t>
      </w:r>
      <w:r w:rsidR="00C0696E" w:rsidRPr="00AE5550">
        <w:rPr>
          <w:rFonts w:ascii="Verdana" w:hAnsi="Verdana"/>
          <w:sz w:val="20"/>
          <w:szCs w:val="20"/>
          <w:lang w:val="it-CH"/>
        </w:rPr>
        <w:t xml:space="preserve"> (MOCA).</w:t>
      </w:r>
    </w:p>
    <w:p w:rsidR="002F010D" w:rsidRPr="00AE5550" w:rsidRDefault="001158D9" w:rsidP="007A7FB2">
      <w:pPr>
        <w:spacing w:after="160" w:line="259" w:lineRule="auto"/>
        <w:jc w:val="both"/>
        <w:rPr>
          <w:rFonts w:ascii="Verdana" w:hAnsi="Verdana" w:cs="Arial"/>
          <w:sz w:val="20"/>
          <w:szCs w:val="20"/>
          <w:lang w:val="it-CH"/>
        </w:rPr>
      </w:pPr>
      <w:r w:rsidRPr="00AE5550">
        <w:rPr>
          <w:rFonts w:ascii="Verdana" w:hAnsi="Verdana"/>
          <w:sz w:val="20"/>
          <w:szCs w:val="20"/>
          <w:lang w:val="it-CH"/>
        </w:rPr>
        <w:br/>
      </w:r>
      <w:r w:rsidR="00927EA5" w:rsidRPr="00AE5550">
        <w:rPr>
          <w:rFonts w:ascii="Verdana" w:hAnsi="Verdana"/>
          <w:sz w:val="20"/>
          <w:szCs w:val="20"/>
          <w:lang w:val="it-CH"/>
        </w:rPr>
        <w:t xml:space="preserve">L’assistenza interdisciplinare è </w:t>
      </w:r>
      <w:r w:rsidR="00D21DC9">
        <w:rPr>
          <w:rFonts w:ascii="Verdana" w:hAnsi="Verdana"/>
          <w:sz w:val="20"/>
          <w:szCs w:val="20"/>
          <w:lang w:val="it-CH"/>
        </w:rPr>
        <w:t>fornita</w:t>
      </w:r>
      <w:r w:rsidR="00927EA5" w:rsidRPr="00AE5550">
        <w:rPr>
          <w:rFonts w:ascii="Verdana" w:hAnsi="Verdana"/>
          <w:sz w:val="20"/>
          <w:szCs w:val="20"/>
          <w:lang w:val="it-CH"/>
        </w:rPr>
        <w:t xml:space="preserve"> da neurochirurghi funzionali, neurologi, radiologi e internisti</w:t>
      </w:r>
      <w:r w:rsidR="002F010D" w:rsidRPr="00AE5550">
        <w:rPr>
          <w:rFonts w:ascii="Verdana" w:hAnsi="Verdana"/>
          <w:sz w:val="20"/>
          <w:szCs w:val="20"/>
          <w:lang w:val="it-CH"/>
        </w:rPr>
        <w:t>.</w:t>
      </w:r>
      <w:r w:rsidR="00927EA5" w:rsidRPr="00AE5550">
        <w:rPr>
          <w:rFonts w:ascii="Verdana" w:hAnsi="Verdana"/>
          <w:sz w:val="20"/>
          <w:szCs w:val="20"/>
          <w:lang w:val="it-CH"/>
        </w:rPr>
        <w:t xml:space="preserve"> Il neurochirurgo responsabile tratta eventuali complicazioni del trattamento </w:t>
      </w:r>
      <w:r w:rsidRPr="00AE5550">
        <w:rPr>
          <w:rFonts w:ascii="Verdana" w:hAnsi="Verdana" w:cs="Arial"/>
          <w:sz w:val="20"/>
          <w:szCs w:val="20"/>
          <w:lang w:val="it-CH"/>
        </w:rPr>
        <w:t>MRgFUS</w:t>
      </w:r>
      <w:r w:rsidR="00927EA5" w:rsidRPr="00AE5550">
        <w:rPr>
          <w:rFonts w:ascii="Verdana" w:hAnsi="Verdana" w:cs="Arial"/>
          <w:sz w:val="20"/>
          <w:szCs w:val="20"/>
          <w:lang w:val="it-CH"/>
        </w:rPr>
        <w:t xml:space="preserve"> e, se necessario, può fare capo rapidamente ad un </w:t>
      </w:r>
      <w:r w:rsidR="00935CC9" w:rsidRPr="00AE5550">
        <w:rPr>
          <w:rFonts w:ascii="Verdana" w:hAnsi="Verdana" w:cs="Arial"/>
          <w:sz w:val="20"/>
          <w:szCs w:val="20"/>
          <w:lang w:val="it-CH"/>
        </w:rPr>
        <w:t>ricovero ospedaliero</w:t>
      </w:r>
      <w:r w:rsidR="00927EA5" w:rsidRPr="00AE5550">
        <w:rPr>
          <w:rFonts w:ascii="Verdana" w:hAnsi="Verdana" w:cs="Arial"/>
          <w:sz w:val="20"/>
          <w:szCs w:val="20"/>
          <w:lang w:val="it-CH"/>
        </w:rPr>
        <w:t xml:space="preserve"> e a capacit</w:t>
      </w:r>
      <w:r w:rsidR="00935CC9" w:rsidRPr="00AE5550">
        <w:rPr>
          <w:rFonts w:ascii="Verdana" w:hAnsi="Verdana" w:cs="Arial"/>
          <w:sz w:val="20"/>
          <w:szCs w:val="20"/>
          <w:lang w:val="it-CH"/>
        </w:rPr>
        <w:t>à</w:t>
      </w:r>
      <w:r w:rsidR="00927EA5" w:rsidRPr="00AE5550">
        <w:rPr>
          <w:rFonts w:ascii="Verdana" w:hAnsi="Verdana" w:cs="Arial"/>
          <w:sz w:val="20"/>
          <w:szCs w:val="20"/>
          <w:lang w:val="it-CH"/>
        </w:rPr>
        <w:t xml:space="preserve"> chirurgiche</w:t>
      </w:r>
      <w:r w:rsidR="00035FF8" w:rsidRPr="00AE5550">
        <w:rPr>
          <w:rFonts w:ascii="Verdana" w:hAnsi="Verdana" w:cs="Arial"/>
          <w:sz w:val="20"/>
          <w:szCs w:val="20"/>
          <w:lang w:val="it-CH"/>
        </w:rPr>
        <w:t>.</w:t>
      </w:r>
    </w:p>
    <w:p w:rsidR="000E34CF" w:rsidRPr="00AE5550" w:rsidRDefault="00350B66" w:rsidP="007A7FB2">
      <w:pPr>
        <w:spacing w:after="160" w:line="259" w:lineRule="auto"/>
        <w:jc w:val="both"/>
        <w:rPr>
          <w:rFonts w:ascii="Verdana" w:hAnsi="Verdana"/>
          <w:sz w:val="20"/>
          <w:szCs w:val="20"/>
          <w:lang w:val="it-CH"/>
        </w:rPr>
      </w:pPr>
      <w:r w:rsidRPr="00AE5550">
        <w:rPr>
          <w:rFonts w:ascii="Verdana" w:hAnsi="Verdana" w:cs="Arial"/>
          <w:sz w:val="20"/>
          <w:szCs w:val="20"/>
          <w:lang w:val="it-CH"/>
        </w:rPr>
        <w:t>Conformemente al registro di valutazione devono essere eseguiti dei controlli almeno due giorni, tre mesi, un anno e tre anni dopo l’intervento.</w:t>
      </w:r>
    </w:p>
    <w:p w:rsidR="00350B66" w:rsidRPr="00AE5550" w:rsidRDefault="00350B66">
      <w:pPr>
        <w:rPr>
          <w:rFonts w:ascii="Verdana" w:hAnsi="Verdana"/>
          <w:sz w:val="20"/>
          <w:szCs w:val="20"/>
          <w:lang w:val="it-CH"/>
        </w:rPr>
      </w:pPr>
      <w:r w:rsidRPr="00AE5550">
        <w:rPr>
          <w:rFonts w:ascii="Verdana" w:hAnsi="Verdana"/>
          <w:sz w:val="20"/>
          <w:szCs w:val="20"/>
          <w:lang w:val="it-CH"/>
        </w:rPr>
        <w:br w:type="page"/>
      </w:r>
    </w:p>
    <w:p w:rsidR="00032704" w:rsidRPr="00AE5550" w:rsidRDefault="00350B66" w:rsidP="007A7FB2">
      <w:pPr>
        <w:spacing w:after="160" w:line="259" w:lineRule="auto"/>
        <w:jc w:val="both"/>
        <w:rPr>
          <w:rFonts w:ascii="Verdana" w:hAnsi="Verdana"/>
          <w:sz w:val="20"/>
          <w:szCs w:val="20"/>
          <w:lang w:val="it-CH"/>
        </w:rPr>
      </w:pPr>
      <w:r w:rsidRPr="00AE5550">
        <w:rPr>
          <w:rFonts w:ascii="Verdana" w:hAnsi="Verdana"/>
          <w:sz w:val="20"/>
          <w:szCs w:val="20"/>
          <w:lang w:val="it-CH"/>
        </w:rPr>
        <w:lastRenderedPageBreak/>
        <w:t xml:space="preserve">La talamotomia </w:t>
      </w:r>
      <w:r w:rsidR="00AE5550">
        <w:rPr>
          <w:rFonts w:ascii="Verdana" w:hAnsi="Verdana"/>
          <w:sz w:val="20"/>
          <w:szCs w:val="20"/>
          <w:lang w:val="it-CH"/>
        </w:rPr>
        <w:t>centrale</w:t>
      </w:r>
      <w:r w:rsidRPr="00AE5550">
        <w:rPr>
          <w:rFonts w:ascii="Verdana" w:hAnsi="Verdana"/>
          <w:sz w:val="20"/>
          <w:szCs w:val="20"/>
          <w:lang w:val="it-CH"/>
        </w:rPr>
        <w:t xml:space="preserve"> laterale, una forma della talamotomia mediale, figura da anni</w:t>
      </w:r>
      <w:r w:rsidR="00497742">
        <w:rPr>
          <w:rFonts w:ascii="Verdana" w:hAnsi="Verdana"/>
          <w:sz w:val="20"/>
          <w:szCs w:val="20"/>
          <w:lang w:val="it-CH"/>
        </w:rPr>
        <w:t>,</w:t>
      </w:r>
      <w:r w:rsidRPr="00AE5550">
        <w:rPr>
          <w:rFonts w:ascii="Verdana" w:hAnsi="Verdana"/>
          <w:sz w:val="20"/>
          <w:szCs w:val="20"/>
          <w:lang w:val="it-CH"/>
        </w:rPr>
        <w:t xml:space="preserve"> e </w:t>
      </w:r>
      <w:r w:rsidR="00497742">
        <w:rPr>
          <w:rFonts w:ascii="Verdana" w:hAnsi="Verdana"/>
          <w:sz w:val="20"/>
          <w:szCs w:val="20"/>
          <w:lang w:val="it-CH"/>
        </w:rPr>
        <w:t xml:space="preserve">ancora oggi </w:t>
      </w:r>
      <w:r w:rsidRPr="00AE5550">
        <w:rPr>
          <w:rFonts w:ascii="Verdana" w:hAnsi="Verdana"/>
          <w:sz w:val="20"/>
          <w:szCs w:val="20"/>
          <w:lang w:val="it-CH"/>
        </w:rPr>
        <w:t>nell’elenco delle opzioni terapeutiche riconosciute a livello internazionale</w:t>
      </w:r>
      <w:r w:rsidR="00574334" w:rsidRPr="00AE5550">
        <w:rPr>
          <w:rFonts w:ascii="Verdana" w:hAnsi="Verdana"/>
          <w:sz w:val="20"/>
          <w:szCs w:val="20"/>
          <w:lang w:val="it-CH"/>
        </w:rPr>
        <w:t xml:space="preserve">. </w:t>
      </w:r>
      <w:r w:rsidR="006A7759" w:rsidRPr="00AE5550">
        <w:rPr>
          <w:rFonts w:ascii="Verdana" w:hAnsi="Verdana"/>
          <w:sz w:val="20"/>
          <w:szCs w:val="20"/>
          <w:lang w:val="it-CH"/>
        </w:rPr>
        <w:t xml:space="preserve">Essa ha una quota di successo del 60% </w:t>
      </w:r>
      <w:r w:rsidR="00497742">
        <w:rPr>
          <w:rFonts w:ascii="Verdana" w:hAnsi="Verdana"/>
          <w:sz w:val="20"/>
          <w:szCs w:val="20"/>
          <w:lang w:val="it-CH"/>
        </w:rPr>
        <w:t>e permette di salvaguardare</w:t>
      </w:r>
      <w:r w:rsidR="006A7759" w:rsidRPr="00AE5550">
        <w:rPr>
          <w:rFonts w:ascii="Verdana" w:hAnsi="Verdana"/>
          <w:sz w:val="20"/>
          <w:szCs w:val="20"/>
          <w:lang w:val="it-CH"/>
        </w:rPr>
        <w:t xml:space="preserve"> le funzion</w:t>
      </w:r>
      <w:r w:rsidR="00497742">
        <w:rPr>
          <w:rFonts w:ascii="Verdana" w:hAnsi="Verdana"/>
          <w:sz w:val="20"/>
          <w:szCs w:val="20"/>
          <w:lang w:val="it-CH"/>
        </w:rPr>
        <w:t>i</w:t>
      </w:r>
      <w:r w:rsidR="006A7759" w:rsidRPr="00AE5550">
        <w:rPr>
          <w:rFonts w:ascii="Verdana" w:hAnsi="Verdana"/>
          <w:sz w:val="20"/>
          <w:szCs w:val="20"/>
          <w:lang w:val="it-CH"/>
        </w:rPr>
        <w:t xml:space="preserve"> somatosensorie, motorie e cognitive</w:t>
      </w:r>
      <w:r w:rsidR="00497742">
        <w:rPr>
          <w:rFonts w:ascii="Verdana" w:hAnsi="Verdana"/>
          <w:sz w:val="20"/>
          <w:szCs w:val="20"/>
          <w:lang w:val="it-CH"/>
        </w:rPr>
        <w:t xml:space="preserve">, </w:t>
      </w:r>
      <w:r w:rsidR="006A7759" w:rsidRPr="00AE5550">
        <w:rPr>
          <w:rFonts w:ascii="Verdana" w:hAnsi="Verdana"/>
          <w:sz w:val="20"/>
          <w:szCs w:val="20"/>
          <w:lang w:val="it-CH"/>
        </w:rPr>
        <w:t>senza rischio di peggioramento dei meccanismi dolorosi neuropatici.</w:t>
      </w:r>
      <w:r w:rsidR="00BD3188" w:rsidRPr="00AE5550">
        <w:rPr>
          <w:rFonts w:ascii="Verdana" w:hAnsi="Verdana"/>
          <w:sz w:val="20"/>
          <w:szCs w:val="20"/>
          <w:lang w:val="it-CH"/>
        </w:rPr>
        <w:t xml:space="preserve"> Questo intervento è stato eseguito per anni con l’introduzione di una sonda e termocoagulazione con radiofrequenza</w:t>
      </w:r>
      <w:r w:rsidR="00497742">
        <w:rPr>
          <w:rFonts w:ascii="Verdana" w:hAnsi="Verdana"/>
          <w:sz w:val="20"/>
          <w:szCs w:val="20"/>
          <w:lang w:val="it-CH"/>
        </w:rPr>
        <w:t xml:space="preserve"> ed è</w:t>
      </w:r>
      <w:r w:rsidR="00BD3188" w:rsidRPr="00AE5550">
        <w:rPr>
          <w:rFonts w:ascii="Verdana" w:hAnsi="Verdana"/>
          <w:sz w:val="20"/>
          <w:szCs w:val="20"/>
          <w:lang w:val="it-CH"/>
        </w:rPr>
        <w:t xml:space="preserve"> assunto dalle casse malati e dagli assicuratori infortuni</w:t>
      </w:r>
      <w:r w:rsidR="009059DB" w:rsidRPr="00AE5550">
        <w:rPr>
          <w:rFonts w:ascii="Verdana" w:hAnsi="Verdana"/>
          <w:sz w:val="20"/>
          <w:szCs w:val="20"/>
          <w:lang w:val="it-CH"/>
        </w:rPr>
        <w:t xml:space="preserve">. </w:t>
      </w:r>
    </w:p>
    <w:p w:rsidR="00D12B2D" w:rsidRPr="00AE5550" w:rsidRDefault="000E7995" w:rsidP="007A7FB2">
      <w:pPr>
        <w:spacing w:after="160" w:line="259" w:lineRule="auto"/>
        <w:jc w:val="both"/>
        <w:rPr>
          <w:rFonts w:ascii="Verdana" w:hAnsi="Verdana"/>
          <w:sz w:val="20"/>
          <w:szCs w:val="20"/>
          <w:lang w:val="it-CH"/>
        </w:rPr>
      </w:pPr>
      <w:r w:rsidRPr="00AE5550">
        <w:rPr>
          <w:rFonts w:ascii="Verdana" w:hAnsi="Verdana"/>
          <w:sz w:val="20"/>
          <w:szCs w:val="20"/>
          <w:lang w:val="it-CH"/>
        </w:rPr>
        <w:t xml:space="preserve">Il trattamento transcranico con ultrasuoni focalizzati guidati dalla risonanza magnetica senza incisione non necessita di una penetrazione intracranica. Ciò permette </w:t>
      </w:r>
      <w:r w:rsidR="00DE6A73" w:rsidRPr="00AE5550">
        <w:rPr>
          <w:rFonts w:ascii="Verdana" w:hAnsi="Verdana"/>
          <w:sz w:val="20"/>
          <w:szCs w:val="20"/>
          <w:lang w:val="it-CH"/>
        </w:rPr>
        <w:t xml:space="preserve">eliminare il rischio d’infezione </w:t>
      </w:r>
      <w:r w:rsidR="00497742">
        <w:rPr>
          <w:rFonts w:ascii="Verdana" w:hAnsi="Verdana"/>
          <w:sz w:val="20"/>
          <w:szCs w:val="20"/>
          <w:lang w:val="it-CH"/>
        </w:rPr>
        <w:t xml:space="preserve">e </w:t>
      </w:r>
      <w:r w:rsidR="00DE6A73" w:rsidRPr="00AE5550">
        <w:rPr>
          <w:rFonts w:ascii="Verdana" w:hAnsi="Verdana"/>
          <w:sz w:val="20"/>
          <w:szCs w:val="20"/>
          <w:lang w:val="it-CH"/>
        </w:rPr>
        <w:t>di emorragia nel tragitto di 8 – 9 fino al punto mirato</w:t>
      </w:r>
      <w:r w:rsidR="00546826" w:rsidRPr="00AE5550">
        <w:rPr>
          <w:rFonts w:ascii="Verdana" w:hAnsi="Verdana"/>
          <w:sz w:val="20"/>
          <w:szCs w:val="20"/>
          <w:lang w:val="it-CH"/>
        </w:rPr>
        <w:t xml:space="preserve">. </w:t>
      </w:r>
      <w:r w:rsidR="00DE6A73" w:rsidRPr="00AE5550">
        <w:rPr>
          <w:rFonts w:ascii="Verdana" w:hAnsi="Verdana"/>
          <w:sz w:val="20"/>
          <w:szCs w:val="20"/>
          <w:lang w:val="it-CH"/>
        </w:rPr>
        <w:t xml:space="preserve">La procedura </w:t>
      </w:r>
      <w:r w:rsidR="00497742">
        <w:rPr>
          <w:rFonts w:ascii="Verdana" w:hAnsi="Verdana"/>
          <w:sz w:val="20"/>
          <w:szCs w:val="20"/>
          <w:lang w:val="it-CH"/>
        </w:rPr>
        <w:t>riduce</w:t>
      </w:r>
      <w:r w:rsidR="00DE6A73" w:rsidRPr="00AE5550">
        <w:rPr>
          <w:rFonts w:ascii="Verdana" w:hAnsi="Verdana"/>
          <w:sz w:val="20"/>
          <w:szCs w:val="20"/>
          <w:lang w:val="it-CH"/>
        </w:rPr>
        <w:t xml:space="preserve"> in modo significativo il rischio di sanguinamento</w:t>
      </w:r>
      <w:r w:rsidR="00497742">
        <w:rPr>
          <w:rFonts w:ascii="Verdana" w:hAnsi="Verdana"/>
          <w:sz w:val="20"/>
          <w:szCs w:val="20"/>
          <w:lang w:val="it-CH"/>
        </w:rPr>
        <w:t>,</w:t>
      </w:r>
      <w:r w:rsidR="00DE6A73" w:rsidRPr="00AE5550">
        <w:rPr>
          <w:rFonts w:ascii="Verdana" w:hAnsi="Verdana"/>
          <w:sz w:val="20"/>
          <w:szCs w:val="20"/>
          <w:lang w:val="it-CH"/>
        </w:rPr>
        <w:t xml:space="preserve"> che nel punto mirato può situarsi nell’ordine di grandezza di millimetri cubi.</w:t>
      </w:r>
      <w:r w:rsidR="00546826" w:rsidRPr="00AE5550">
        <w:rPr>
          <w:rFonts w:ascii="Verdana" w:hAnsi="Verdana"/>
          <w:sz w:val="20"/>
          <w:szCs w:val="20"/>
          <w:lang w:val="it-CH"/>
        </w:rPr>
        <w:t xml:space="preserve"> </w:t>
      </w:r>
      <w:r w:rsidR="00DE6A73" w:rsidRPr="00AE5550">
        <w:rPr>
          <w:rFonts w:ascii="Verdana" w:hAnsi="Verdana"/>
          <w:sz w:val="20"/>
          <w:szCs w:val="20"/>
          <w:lang w:val="it-CH"/>
        </w:rPr>
        <w:t>L’interazione della risonanza magnetica e degli ultrasuoni permette un controllo in tempo reale dell’azione termica terapeutica applicata. Questo modo di procedere permette di escludere la generazione della lesione terapeutica in un punto sbagliato ossia al di fuori della zona mirata. La precisione di mira di questa tecnologia è di mezzo millimetro e nelle oltre 200 termolesioni eseguite non si sono riscontrate delle emorragie.</w:t>
      </w:r>
      <w:r w:rsidR="0076635D" w:rsidRPr="00AE5550">
        <w:rPr>
          <w:rFonts w:ascii="Verdana" w:hAnsi="Verdana"/>
          <w:sz w:val="20"/>
          <w:szCs w:val="20"/>
          <w:lang w:val="it-CH"/>
        </w:rPr>
        <w:t xml:space="preserve"> </w:t>
      </w:r>
      <w:r w:rsidR="00546826" w:rsidRPr="00AE5550">
        <w:rPr>
          <w:rFonts w:ascii="Verdana" w:hAnsi="Verdana"/>
          <w:sz w:val="20"/>
          <w:szCs w:val="20"/>
          <w:lang w:val="it-CH"/>
        </w:rPr>
        <w:t xml:space="preserve"> </w:t>
      </w:r>
    </w:p>
    <w:p w:rsidR="00D12B2D" w:rsidRPr="00AE5550" w:rsidRDefault="00D12B2D" w:rsidP="007A7FB2">
      <w:pPr>
        <w:spacing w:after="160" w:line="259" w:lineRule="auto"/>
        <w:rPr>
          <w:rFonts w:ascii="Verdana" w:hAnsi="Verdana"/>
          <w:sz w:val="20"/>
          <w:szCs w:val="20"/>
          <w:lang w:val="it-CH"/>
        </w:rPr>
      </w:pPr>
    </w:p>
    <w:p w:rsidR="001158D9" w:rsidRPr="00AE5550" w:rsidRDefault="00EE591C" w:rsidP="007A7FB2">
      <w:pPr>
        <w:spacing w:after="160" w:line="259" w:lineRule="auto"/>
        <w:rPr>
          <w:rFonts w:ascii="Verdana" w:hAnsi="Verdana" w:cs="Arial"/>
          <w:sz w:val="20"/>
          <w:szCs w:val="20"/>
          <w:lang w:val="it-CH"/>
        </w:rPr>
      </w:pPr>
      <w:r w:rsidRPr="00AE5550">
        <w:rPr>
          <w:rFonts w:ascii="Verdana" w:hAnsi="Verdana" w:cs="Arial"/>
          <w:sz w:val="20"/>
          <w:szCs w:val="20"/>
          <w:lang w:val="it-CH"/>
        </w:rPr>
        <w:t>La remunerazione dell’intervento si basa sulla tariffazione seguente (apporre una crocetta):</w:t>
      </w:r>
    </w:p>
    <w:tbl>
      <w:tblPr>
        <w:tblStyle w:val="Tabellenraster"/>
        <w:tblW w:w="0" w:type="auto"/>
        <w:tblInd w:w="108" w:type="dxa"/>
        <w:tblLook w:val="04A0" w:firstRow="1" w:lastRow="0" w:firstColumn="1" w:lastColumn="0" w:noHBand="0" w:noVBand="1"/>
      </w:tblPr>
      <w:tblGrid>
        <w:gridCol w:w="709"/>
        <w:gridCol w:w="9244"/>
      </w:tblGrid>
      <w:tr w:rsidR="001158D9" w:rsidRPr="005A1597" w:rsidTr="00503515">
        <w:trPr>
          <w:trHeight w:val="994"/>
        </w:trPr>
        <w:tc>
          <w:tcPr>
            <w:tcW w:w="709" w:type="dxa"/>
            <w:vAlign w:val="center"/>
          </w:tcPr>
          <w:p w:rsidR="001158D9" w:rsidRPr="00AE5550" w:rsidRDefault="00503515" w:rsidP="00503515">
            <w:pPr>
              <w:spacing w:line="259" w:lineRule="auto"/>
              <w:jc w:val="center"/>
              <w:rPr>
                <w:rFonts w:ascii="Verdana" w:hAnsi="Verdana" w:cs="Arial"/>
                <w:b/>
                <w:sz w:val="26"/>
                <w:szCs w:val="26"/>
                <w:lang w:val="it-CH"/>
              </w:rPr>
            </w:pPr>
            <w:r w:rsidRPr="00AE5550">
              <w:rPr>
                <w:rFonts w:ascii="Verdana" w:hAnsi="Verdana"/>
                <w:b/>
                <w:sz w:val="26"/>
                <w:szCs w:val="26"/>
                <w:lang w:val="it-CH"/>
              </w:rPr>
              <w:fldChar w:fldCharType="begin">
                <w:ffData>
                  <w:name w:val="Kontrollkästchen1"/>
                  <w:enabled/>
                  <w:calcOnExit w:val="0"/>
                  <w:checkBox>
                    <w:sizeAuto/>
                    <w:default w:val="0"/>
                  </w:checkBox>
                </w:ffData>
              </w:fldChar>
            </w:r>
            <w:r w:rsidRPr="00AE5550">
              <w:rPr>
                <w:rFonts w:ascii="Verdana" w:hAnsi="Verdana"/>
                <w:b/>
                <w:sz w:val="26"/>
                <w:szCs w:val="26"/>
                <w:lang w:val="it-CH"/>
              </w:rPr>
              <w:instrText xml:space="preserve"> FORMCHECKBOX </w:instrText>
            </w:r>
            <w:r w:rsidR="0044721C">
              <w:rPr>
                <w:rFonts w:ascii="Verdana" w:hAnsi="Verdana"/>
                <w:b/>
                <w:sz w:val="26"/>
                <w:szCs w:val="26"/>
                <w:lang w:val="it-CH"/>
              </w:rPr>
            </w:r>
            <w:r w:rsidR="0044721C">
              <w:rPr>
                <w:rFonts w:ascii="Verdana" w:hAnsi="Verdana"/>
                <w:b/>
                <w:sz w:val="26"/>
                <w:szCs w:val="26"/>
                <w:lang w:val="it-CH"/>
              </w:rPr>
              <w:fldChar w:fldCharType="separate"/>
            </w:r>
            <w:r w:rsidRPr="00AE5550">
              <w:rPr>
                <w:rFonts w:ascii="Verdana" w:hAnsi="Verdana"/>
                <w:b/>
                <w:sz w:val="26"/>
                <w:szCs w:val="26"/>
                <w:lang w:val="it-CH"/>
              </w:rPr>
              <w:fldChar w:fldCharType="end"/>
            </w:r>
          </w:p>
        </w:tc>
        <w:tc>
          <w:tcPr>
            <w:tcW w:w="9244" w:type="dxa"/>
            <w:vAlign w:val="center"/>
          </w:tcPr>
          <w:p w:rsidR="001158D9" w:rsidRPr="00AE5550" w:rsidRDefault="00FA7281" w:rsidP="00503515">
            <w:pPr>
              <w:spacing w:line="259" w:lineRule="auto"/>
              <w:rPr>
                <w:rFonts w:ascii="Verdana" w:hAnsi="Verdana"/>
                <w:sz w:val="20"/>
                <w:szCs w:val="20"/>
                <w:lang w:val="it-CH"/>
              </w:rPr>
            </w:pPr>
            <w:r w:rsidRPr="00AE5550">
              <w:rPr>
                <w:rFonts w:ascii="Verdana" w:hAnsi="Verdana" w:cs="Arial"/>
                <w:b/>
                <w:sz w:val="20"/>
                <w:szCs w:val="20"/>
                <w:lang w:val="it-CH"/>
              </w:rPr>
              <w:t xml:space="preserve">Forfait </w:t>
            </w:r>
            <w:r w:rsidR="00497742">
              <w:rPr>
                <w:rFonts w:ascii="Verdana" w:hAnsi="Verdana" w:cs="Arial"/>
                <w:b/>
                <w:sz w:val="20"/>
                <w:szCs w:val="20"/>
                <w:lang w:val="it-CH"/>
              </w:rPr>
              <w:t xml:space="preserve">per caso </w:t>
            </w:r>
            <w:r w:rsidRPr="00AE5550">
              <w:rPr>
                <w:rFonts w:ascii="Verdana" w:hAnsi="Verdana" w:cs="Arial"/>
                <w:b/>
                <w:sz w:val="20"/>
                <w:szCs w:val="20"/>
                <w:lang w:val="it-CH"/>
              </w:rPr>
              <w:t>degenza</w:t>
            </w:r>
            <w:r w:rsidR="001158D9" w:rsidRPr="00AE5550">
              <w:rPr>
                <w:rFonts w:ascii="Verdana" w:hAnsi="Verdana" w:cs="Arial"/>
                <w:sz w:val="20"/>
                <w:szCs w:val="20"/>
                <w:lang w:val="it-CH"/>
              </w:rPr>
              <w:t xml:space="preserve">: </w:t>
            </w:r>
            <w:r w:rsidR="00EE591C" w:rsidRPr="00AE5550">
              <w:rPr>
                <w:rFonts w:ascii="Verdana" w:hAnsi="Verdana" w:cs="Arial"/>
                <w:sz w:val="20"/>
                <w:szCs w:val="20"/>
                <w:lang w:val="it-CH"/>
              </w:rPr>
              <w:t xml:space="preserve">conformemente a </w:t>
            </w:r>
            <w:r w:rsidR="001158D9" w:rsidRPr="00AE5550">
              <w:rPr>
                <w:rFonts w:ascii="Verdana" w:hAnsi="Verdana"/>
                <w:sz w:val="20"/>
                <w:szCs w:val="20"/>
                <w:lang w:val="it-CH"/>
              </w:rPr>
              <w:t>SwissDRG</w:t>
            </w:r>
          </w:p>
          <w:p w:rsidR="00503515" w:rsidRPr="00AE5550" w:rsidRDefault="00503515" w:rsidP="00FA7281">
            <w:pPr>
              <w:spacing w:line="259" w:lineRule="auto"/>
              <w:rPr>
                <w:rFonts w:ascii="Verdana" w:hAnsi="Verdana" w:cs="Arial"/>
                <w:sz w:val="20"/>
                <w:szCs w:val="20"/>
                <w:lang w:val="it-CH"/>
              </w:rPr>
            </w:pPr>
            <w:r w:rsidRPr="00AE5550">
              <w:rPr>
                <w:rFonts w:ascii="Verdana" w:hAnsi="Verdana"/>
                <w:sz w:val="20"/>
                <w:szCs w:val="20"/>
                <w:lang w:val="it-CH"/>
              </w:rPr>
              <w:t>(</w:t>
            </w:r>
            <w:r w:rsidR="00FA7281" w:rsidRPr="00AE5550">
              <w:rPr>
                <w:rFonts w:ascii="Verdana" w:hAnsi="Verdana"/>
                <w:sz w:val="20"/>
                <w:szCs w:val="20"/>
                <w:lang w:val="it-CH"/>
              </w:rPr>
              <w:t>raggruppamento n</w:t>
            </w:r>
            <w:r w:rsidRPr="00AE5550">
              <w:rPr>
                <w:rFonts w:ascii="Verdana" w:hAnsi="Verdana"/>
                <w:sz w:val="20"/>
                <w:szCs w:val="20"/>
                <w:lang w:val="it-CH"/>
              </w:rPr>
              <w:t xml:space="preserve">. B20C, tcMRgFUS </w:t>
            </w:r>
            <w:r w:rsidR="00FA7281" w:rsidRPr="00AE5550">
              <w:rPr>
                <w:rFonts w:ascii="Verdana" w:hAnsi="Verdana"/>
                <w:sz w:val="20"/>
                <w:szCs w:val="20"/>
                <w:lang w:val="it-CH"/>
              </w:rPr>
              <w:t xml:space="preserve">codice </w:t>
            </w:r>
            <w:r w:rsidRPr="00AE5550">
              <w:rPr>
                <w:rFonts w:ascii="Verdana" w:hAnsi="Verdana"/>
                <w:sz w:val="20"/>
                <w:szCs w:val="20"/>
                <w:lang w:val="it-CH"/>
              </w:rPr>
              <w:t>CHOP 00.99.32</w:t>
            </w:r>
            <w:r w:rsidRPr="00AE5550">
              <w:rPr>
                <w:rFonts w:ascii="Verdana" w:hAnsi="Verdana" w:cs="Arial"/>
                <w:sz w:val="20"/>
                <w:szCs w:val="20"/>
                <w:lang w:val="it-CH"/>
              </w:rPr>
              <w:t>)</w:t>
            </w:r>
          </w:p>
        </w:tc>
      </w:tr>
    </w:tbl>
    <w:p w:rsidR="00503515" w:rsidRPr="00AE5550" w:rsidRDefault="00503515" w:rsidP="00503515">
      <w:pPr>
        <w:spacing w:after="160" w:line="259" w:lineRule="auto"/>
        <w:rPr>
          <w:rFonts w:ascii="Verdana" w:hAnsi="Verdana" w:cs="Arial"/>
          <w:sz w:val="20"/>
          <w:szCs w:val="20"/>
          <w:lang w:val="it-CH"/>
        </w:rPr>
      </w:pPr>
    </w:p>
    <w:p w:rsidR="0076758E" w:rsidRPr="00AE5550" w:rsidRDefault="008A3F43" w:rsidP="00503515">
      <w:pPr>
        <w:spacing w:after="160" w:line="259" w:lineRule="auto"/>
        <w:ind w:firstLine="709"/>
        <w:rPr>
          <w:rFonts w:ascii="Verdana" w:hAnsi="Verdana" w:cs="Arial"/>
          <w:sz w:val="20"/>
          <w:szCs w:val="20"/>
          <w:lang w:val="it-CH"/>
        </w:rPr>
      </w:pPr>
      <w:r w:rsidRPr="00AE5550">
        <w:rPr>
          <w:rFonts w:ascii="Verdana" w:hAnsi="Verdana" w:cs="Arial"/>
          <w:sz w:val="20"/>
          <w:szCs w:val="20"/>
          <w:lang w:val="it-CH"/>
        </w:rPr>
        <w:t>o</w:t>
      </w:r>
      <w:r w:rsidR="00EE591C" w:rsidRPr="00AE5550">
        <w:rPr>
          <w:rFonts w:ascii="Verdana" w:hAnsi="Verdana" w:cs="Arial"/>
          <w:sz w:val="20"/>
          <w:szCs w:val="20"/>
          <w:lang w:val="it-CH"/>
        </w:rPr>
        <w:t>ppure</w:t>
      </w:r>
      <w:r w:rsidRPr="00AE5550">
        <w:rPr>
          <w:rFonts w:ascii="Verdana" w:hAnsi="Verdana" w:cs="Arial"/>
          <w:sz w:val="20"/>
          <w:szCs w:val="20"/>
          <w:lang w:val="it-CH"/>
        </w:rPr>
        <w:t>:</w:t>
      </w:r>
    </w:p>
    <w:tbl>
      <w:tblPr>
        <w:tblStyle w:val="Tabellenraster"/>
        <w:tblW w:w="0" w:type="auto"/>
        <w:tblInd w:w="108" w:type="dxa"/>
        <w:tblLook w:val="04A0" w:firstRow="1" w:lastRow="0" w:firstColumn="1" w:lastColumn="0" w:noHBand="0" w:noVBand="1"/>
      </w:tblPr>
      <w:tblGrid>
        <w:gridCol w:w="709"/>
        <w:gridCol w:w="9244"/>
      </w:tblGrid>
      <w:tr w:rsidR="00503515" w:rsidRPr="005A1597" w:rsidTr="008F6427">
        <w:trPr>
          <w:trHeight w:val="994"/>
        </w:trPr>
        <w:tc>
          <w:tcPr>
            <w:tcW w:w="709" w:type="dxa"/>
            <w:tcBorders>
              <w:bottom w:val="single" w:sz="4" w:space="0" w:color="auto"/>
            </w:tcBorders>
            <w:vAlign w:val="center"/>
          </w:tcPr>
          <w:p w:rsidR="00503515" w:rsidRPr="00AE5550" w:rsidRDefault="00503515" w:rsidP="00D37797">
            <w:pPr>
              <w:spacing w:line="259" w:lineRule="auto"/>
              <w:jc w:val="center"/>
              <w:rPr>
                <w:rFonts w:ascii="Verdana" w:hAnsi="Verdana" w:cs="Arial"/>
                <w:b/>
                <w:sz w:val="26"/>
                <w:szCs w:val="26"/>
                <w:lang w:val="it-CH"/>
              </w:rPr>
            </w:pPr>
            <w:r w:rsidRPr="00AE5550">
              <w:rPr>
                <w:rFonts w:ascii="Verdana" w:hAnsi="Verdana"/>
                <w:b/>
                <w:sz w:val="26"/>
                <w:szCs w:val="26"/>
                <w:lang w:val="it-CH"/>
              </w:rPr>
              <w:fldChar w:fldCharType="begin">
                <w:ffData>
                  <w:name w:val="Kontrollkästchen1"/>
                  <w:enabled/>
                  <w:calcOnExit w:val="0"/>
                  <w:checkBox>
                    <w:sizeAuto/>
                    <w:default w:val="0"/>
                  </w:checkBox>
                </w:ffData>
              </w:fldChar>
            </w:r>
            <w:r w:rsidRPr="00AE5550">
              <w:rPr>
                <w:rFonts w:ascii="Verdana" w:hAnsi="Verdana"/>
                <w:b/>
                <w:sz w:val="26"/>
                <w:szCs w:val="26"/>
                <w:lang w:val="it-CH"/>
              </w:rPr>
              <w:instrText xml:space="preserve"> FORMCHECKBOX </w:instrText>
            </w:r>
            <w:r w:rsidR="0044721C">
              <w:rPr>
                <w:rFonts w:ascii="Verdana" w:hAnsi="Verdana"/>
                <w:b/>
                <w:sz w:val="26"/>
                <w:szCs w:val="26"/>
                <w:lang w:val="it-CH"/>
              </w:rPr>
            </w:r>
            <w:r w:rsidR="0044721C">
              <w:rPr>
                <w:rFonts w:ascii="Verdana" w:hAnsi="Verdana"/>
                <w:b/>
                <w:sz w:val="26"/>
                <w:szCs w:val="26"/>
                <w:lang w:val="it-CH"/>
              </w:rPr>
              <w:fldChar w:fldCharType="separate"/>
            </w:r>
            <w:r w:rsidRPr="00AE5550">
              <w:rPr>
                <w:rFonts w:ascii="Verdana" w:hAnsi="Verdana"/>
                <w:b/>
                <w:sz w:val="26"/>
                <w:szCs w:val="26"/>
                <w:lang w:val="it-CH"/>
              </w:rPr>
              <w:fldChar w:fldCharType="end"/>
            </w:r>
          </w:p>
        </w:tc>
        <w:tc>
          <w:tcPr>
            <w:tcW w:w="9244" w:type="dxa"/>
            <w:tcBorders>
              <w:bottom w:val="single" w:sz="4" w:space="0" w:color="auto"/>
            </w:tcBorders>
            <w:vAlign w:val="center"/>
          </w:tcPr>
          <w:p w:rsidR="00503515" w:rsidRPr="00AE5550" w:rsidRDefault="00FA7281" w:rsidP="00FA7281">
            <w:pPr>
              <w:spacing w:line="259" w:lineRule="auto"/>
              <w:rPr>
                <w:rFonts w:ascii="Verdana" w:hAnsi="Verdana" w:cs="Arial"/>
                <w:sz w:val="20"/>
                <w:szCs w:val="20"/>
                <w:lang w:val="it-CH"/>
              </w:rPr>
            </w:pPr>
            <w:r w:rsidRPr="00AE5550">
              <w:rPr>
                <w:rFonts w:ascii="Verdana" w:hAnsi="Verdana" w:cs="Arial"/>
                <w:b/>
                <w:sz w:val="20"/>
                <w:szCs w:val="20"/>
                <w:lang w:val="it-CH"/>
              </w:rPr>
              <w:t>Forfait</w:t>
            </w:r>
            <w:r w:rsidR="00497742">
              <w:rPr>
                <w:rFonts w:ascii="Verdana" w:hAnsi="Verdana" w:cs="Arial"/>
                <w:b/>
                <w:sz w:val="20"/>
                <w:szCs w:val="20"/>
                <w:lang w:val="it-CH"/>
              </w:rPr>
              <w:t xml:space="preserve"> per caso</w:t>
            </w:r>
            <w:r w:rsidRPr="00AE5550">
              <w:rPr>
                <w:rFonts w:ascii="Verdana" w:hAnsi="Verdana" w:cs="Arial"/>
                <w:b/>
                <w:sz w:val="20"/>
                <w:szCs w:val="20"/>
                <w:lang w:val="it-CH"/>
              </w:rPr>
              <w:t xml:space="preserve"> ambulatoriale</w:t>
            </w:r>
            <w:r w:rsidR="00503515" w:rsidRPr="00AE5550">
              <w:rPr>
                <w:rFonts w:ascii="Verdana" w:hAnsi="Verdana" w:cs="Arial"/>
                <w:b/>
                <w:sz w:val="20"/>
                <w:szCs w:val="20"/>
                <w:lang w:val="it-CH"/>
              </w:rPr>
              <w:t>*</w:t>
            </w:r>
            <w:r w:rsidR="00503515" w:rsidRPr="00AE5550">
              <w:rPr>
                <w:rFonts w:ascii="Verdana" w:hAnsi="Verdana" w:cs="Arial"/>
                <w:sz w:val="20"/>
                <w:szCs w:val="20"/>
                <w:lang w:val="it-CH"/>
              </w:rPr>
              <w:t>:</w:t>
            </w:r>
            <w:r w:rsidR="00503515" w:rsidRPr="00AE5550">
              <w:rPr>
                <w:rFonts w:ascii="Verdana" w:hAnsi="Verdana" w:cs="Arial"/>
                <w:sz w:val="20"/>
                <w:szCs w:val="20"/>
                <w:lang w:val="it-CH"/>
              </w:rPr>
              <w:br/>
            </w:r>
            <w:r w:rsidRPr="00AE5550">
              <w:rPr>
                <w:rFonts w:ascii="Verdana" w:hAnsi="Verdana" w:cs="Arial"/>
                <w:sz w:val="20"/>
                <w:szCs w:val="20"/>
                <w:lang w:val="it-CH"/>
              </w:rPr>
              <w:t>codice tariffa</w:t>
            </w:r>
            <w:r w:rsidR="00503515" w:rsidRPr="00AE5550">
              <w:rPr>
                <w:rFonts w:ascii="Verdana" w:hAnsi="Verdana" w:cs="Arial"/>
                <w:sz w:val="20"/>
                <w:szCs w:val="20"/>
                <w:lang w:val="it-CH"/>
              </w:rPr>
              <w:t xml:space="preserve"> </w:t>
            </w:r>
            <w:r w:rsidR="0023312E" w:rsidRPr="00AE5550">
              <w:rPr>
                <w:rFonts w:ascii="Verdana" w:hAnsi="Verdana" w:cs="Arial"/>
                <w:b/>
                <w:sz w:val="20"/>
                <w:szCs w:val="20"/>
                <w:lang w:val="it-CH"/>
              </w:rPr>
              <w:t>003</w:t>
            </w:r>
            <w:r w:rsidR="00503515" w:rsidRPr="00AE5550">
              <w:rPr>
                <w:rFonts w:ascii="Verdana" w:hAnsi="Verdana" w:cs="Arial"/>
                <w:sz w:val="20"/>
                <w:szCs w:val="20"/>
                <w:lang w:val="it-CH"/>
              </w:rPr>
              <w:t xml:space="preserve">, </w:t>
            </w:r>
            <w:r w:rsidRPr="00AE5550">
              <w:rPr>
                <w:rFonts w:ascii="Verdana" w:hAnsi="Verdana" w:cs="Arial"/>
                <w:sz w:val="20"/>
                <w:szCs w:val="20"/>
                <w:lang w:val="it-CH"/>
              </w:rPr>
              <w:t>cifra tariffaria n</w:t>
            </w:r>
            <w:r w:rsidR="00503515" w:rsidRPr="00AE5550">
              <w:rPr>
                <w:rFonts w:ascii="Verdana" w:hAnsi="Verdana" w:cs="Arial"/>
                <w:sz w:val="20"/>
                <w:szCs w:val="20"/>
                <w:lang w:val="it-CH"/>
              </w:rPr>
              <w:t xml:space="preserve">. </w:t>
            </w:r>
            <w:r w:rsidR="0023312E" w:rsidRPr="00AE5550">
              <w:rPr>
                <w:rFonts w:ascii="Verdana" w:hAnsi="Verdana"/>
                <w:b/>
                <w:sz w:val="20"/>
                <w:lang w:val="it-CH"/>
              </w:rPr>
              <w:t>05.1600.00.00</w:t>
            </w:r>
            <w:r w:rsidR="00503515" w:rsidRPr="00AE5550">
              <w:rPr>
                <w:rFonts w:ascii="Verdana" w:hAnsi="Verdana" w:cs="Arial"/>
                <w:sz w:val="20"/>
                <w:szCs w:val="20"/>
                <w:lang w:val="it-CH"/>
              </w:rPr>
              <w:t>,</w:t>
            </w:r>
            <w:r w:rsidR="0023312E" w:rsidRPr="00AE5550">
              <w:rPr>
                <w:rFonts w:ascii="Verdana" w:hAnsi="Verdana" w:cs="Arial"/>
                <w:sz w:val="20"/>
                <w:szCs w:val="20"/>
                <w:lang w:val="it-CH"/>
              </w:rPr>
              <w:t xml:space="preserve"> </w:t>
            </w:r>
            <w:r w:rsidRPr="00AE5550">
              <w:rPr>
                <w:rFonts w:ascii="Verdana" w:hAnsi="Verdana" w:cs="Arial"/>
                <w:sz w:val="20"/>
                <w:szCs w:val="20"/>
                <w:lang w:val="it-CH"/>
              </w:rPr>
              <w:t>importo</w:t>
            </w:r>
            <w:r w:rsidR="00503515" w:rsidRPr="00AE5550">
              <w:rPr>
                <w:rFonts w:ascii="Verdana" w:hAnsi="Verdana" w:cs="Arial"/>
                <w:sz w:val="20"/>
                <w:szCs w:val="20"/>
                <w:lang w:val="it-CH"/>
              </w:rPr>
              <w:t xml:space="preserve"> </w:t>
            </w:r>
            <w:r w:rsidR="00503515" w:rsidRPr="00AE5550">
              <w:rPr>
                <w:rFonts w:ascii="Verdana" w:hAnsi="Verdana" w:cs="Arial"/>
                <w:b/>
                <w:sz w:val="20"/>
                <w:szCs w:val="20"/>
                <w:lang w:val="it-CH"/>
              </w:rPr>
              <w:t>CHF 22‘895.–</w:t>
            </w:r>
          </w:p>
        </w:tc>
      </w:tr>
      <w:tr w:rsidR="008F6427" w:rsidRPr="005A1597" w:rsidTr="008F6427">
        <w:trPr>
          <w:trHeight w:val="806"/>
        </w:trPr>
        <w:tc>
          <w:tcPr>
            <w:tcW w:w="709" w:type="dxa"/>
            <w:tcBorders>
              <w:top w:val="single" w:sz="4" w:space="0" w:color="auto"/>
              <w:left w:val="nil"/>
              <w:bottom w:val="nil"/>
              <w:right w:val="nil"/>
            </w:tcBorders>
          </w:tcPr>
          <w:p w:rsidR="008F6427" w:rsidRPr="00AE5550" w:rsidRDefault="008F6427" w:rsidP="008F6427">
            <w:pPr>
              <w:spacing w:before="120" w:line="259" w:lineRule="auto"/>
              <w:jc w:val="right"/>
              <w:rPr>
                <w:rFonts w:ascii="Verdana" w:hAnsi="Verdana"/>
                <w:sz w:val="22"/>
                <w:lang w:val="it-CH"/>
              </w:rPr>
            </w:pPr>
            <w:r w:rsidRPr="00AE5550">
              <w:rPr>
                <w:rFonts w:ascii="Verdana" w:hAnsi="Verdana" w:cs="Arial"/>
                <w:b/>
                <w:sz w:val="20"/>
                <w:szCs w:val="20"/>
                <w:lang w:val="it-CH"/>
              </w:rPr>
              <w:t>*</w:t>
            </w:r>
          </w:p>
        </w:tc>
        <w:tc>
          <w:tcPr>
            <w:tcW w:w="9244" w:type="dxa"/>
            <w:tcBorders>
              <w:top w:val="single" w:sz="4" w:space="0" w:color="auto"/>
              <w:left w:val="nil"/>
              <w:bottom w:val="nil"/>
              <w:right w:val="nil"/>
            </w:tcBorders>
          </w:tcPr>
          <w:p w:rsidR="008F6427" w:rsidRPr="00AE5550" w:rsidRDefault="00FA7281" w:rsidP="008F6427">
            <w:pPr>
              <w:spacing w:before="120" w:line="259" w:lineRule="auto"/>
              <w:jc w:val="both"/>
              <w:rPr>
                <w:rFonts w:ascii="Verdana" w:hAnsi="Verdana"/>
                <w:sz w:val="20"/>
                <w:szCs w:val="20"/>
                <w:u w:val="single"/>
                <w:lang w:val="it-CH"/>
              </w:rPr>
            </w:pPr>
            <w:r w:rsidRPr="00AE5550">
              <w:rPr>
                <w:rFonts w:ascii="Verdana" w:hAnsi="Verdana"/>
                <w:sz w:val="20"/>
                <w:szCs w:val="20"/>
                <w:lang w:val="it-CH"/>
              </w:rPr>
              <w:t xml:space="preserve">Il forfait </w:t>
            </w:r>
            <w:r w:rsidR="00680E2C">
              <w:rPr>
                <w:rFonts w:ascii="Verdana" w:hAnsi="Verdana"/>
                <w:sz w:val="20"/>
                <w:szCs w:val="20"/>
                <w:lang w:val="it-CH"/>
              </w:rPr>
              <w:t xml:space="preserve">per caso </w:t>
            </w:r>
            <w:r w:rsidRPr="00AE5550">
              <w:rPr>
                <w:rFonts w:ascii="Verdana" w:hAnsi="Verdana"/>
                <w:sz w:val="20"/>
                <w:szCs w:val="20"/>
                <w:lang w:val="it-CH"/>
              </w:rPr>
              <w:t xml:space="preserve">ambulatoriale </w:t>
            </w:r>
            <w:r w:rsidRPr="00AE5550">
              <w:rPr>
                <w:rFonts w:ascii="Verdana" w:hAnsi="Verdana"/>
                <w:b/>
                <w:sz w:val="20"/>
                <w:szCs w:val="20"/>
                <w:lang w:val="it-CH"/>
              </w:rPr>
              <w:t>comprende</w:t>
            </w:r>
            <w:r w:rsidR="008F6427" w:rsidRPr="00AE5550">
              <w:rPr>
                <w:rFonts w:ascii="Verdana" w:hAnsi="Verdana"/>
                <w:sz w:val="20"/>
                <w:szCs w:val="20"/>
                <w:lang w:val="it-CH"/>
              </w:rPr>
              <w:t xml:space="preserve"> </w:t>
            </w:r>
            <w:r w:rsidRPr="00AE5550">
              <w:rPr>
                <w:rFonts w:ascii="Verdana" w:hAnsi="Verdana"/>
                <w:sz w:val="20"/>
                <w:szCs w:val="20"/>
                <w:lang w:val="it-CH"/>
              </w:rPr>
              <w:t xml:space="preserve">i costi di </w:t>
            </w:r>
            <w:r w:rsidRPr="00AE5550">
              <w:rPr>
                <w:rFonts w:ascii="Verdana" w:hAnsi="Verdana"/>
                <w:b/>
                <w:sz w:val="20"/>
                <w:szCs w:val="20"/>
                <w:u w:val="single"/>
                <w:lang w:val="it-CH"/>
              </w:rPr>
              <w:t xml:space="preserve">tutte </w:t>
            </w:r>
            <w:r w:rsidRPr="00AE5550">
              <w:rPr>
                <w:rFonts w:ascii="Verdana" w:hAnsi="Verdana"/>
                <w:sz w:val="20"/>
                <w:szCs w:val="20"/>
                <w:u w:val="single"/>
                <w:lang w:val="it-CH"/>
              </w:rPr>
              <w:t>le prestazioni preoperatorie e postoperatorie</w:t>
            </w:r>
            <w:r w:rsidR="008F6427" w:rsidRPr="00AE5550">
              <w:rPr>
                <w:rFonts w:ascii="Verdana" w:hAnsi="Verdana"/>
                <w:sz w:val="20"/>
                <w:szCs w:val="20"/>
                <w:lang w:val="it-CH"/>
              </w:rPr>
              <w:t xml:space="preserve"> (</w:t>
            </w:r>
            <w:r w:rsidRPr="00AE5550">
              <w:rPr>
                <w:rFonts w:ascii="Verdana" w:hAnsi="Verdana"/>
                <w:sz w:val="20"/>
                <w:szCs w:val="20"/>
                <w:lang w:val="it-CH"/>
              </w:rPr>
              <w:t xml:space="preserve">mediche, del personale curante, misure amministrative, consultazioni ecc. in relazione all’intervento chirurgico) come pure tutto il materiale e ed eventuali altri costi. </w:t>
            </w:r>
          </w:p>
          <w:p w:rsidR="00EB5D6F" w:rsidRPr="00AE5550" w:rsidRDefault="00FA7281" w:rsidP="00665DB2">
            <w:pPr>
              <w:spacing w:before="120" w:line="259" w:lineRule="auto"/>
              <w:jc w:val="both"/>
              <w:rPr>
                <w:rFonts w:ascii="Verdana" w:hAnsi="Verdana" w:cs="Arial"/>
                <w:b/>
                <w:sz w:val="20"/>
                <w:szCs w:val="20"/>
                <w:lang w:val="it-CH"/>
              </w:rPr>
            </w:pPr>
            <w:r w:rsidRPr="00AE5550">
              <w:rPr>
                <w:rFonts w:ascii="Verdana" w:hAnsi="Verdana"/>
                <w:sz w:val="20"/>
                <w:szCs w:val="20"/>
                <w:lang w:val="it-CH" w:eastAsia="en-US"/>
              </w:rPr>
              <w:t>Possono essere fatturati separatamente in conformità alla procedura per la garanzia dei costi, cifra 3d, solo gli accertamenti interdisciplinari, neurologici, neurochirurgici e neuroradiologici citati in preceden</w:t>
            </w:r>
            <w:r w:rsidR="00665DB2" w:rsidRPr="00AE5550">
              <w:rPr>
                <w:rFonts w:ascii="Verdana" w:hAnsi="Verdana"/>
                <w:sz w:val="20"/>
                <w:szCs w:val="20"/>
                <w:lang w:val="it-CH" w:eastAsia="en-US"/>
              </w:rPr>
              <w:t>z</w:t>
            </w:r>
            <w:r w:rsidRPr="00AE5550">
              <w:rPr>
                <w:rFonts w:ascii="Verdana" w:hAnsi="Verdana"/>
                <w:sz w:val="20"/>
                <w:szCs w:val="20"/>
                <w:lang w:val="it-CH" w:eastAsia="en-US"/>
              </w:rPr>
              <w:t xml:space="preserve">a come pure l’EEG </w:t>
            </w:r>
            <w:r w:rsidR="00F17F90" w:rsidRPr="00AE5550">
              <w:rPr>
                <w:rFonts w:ascii="Verdana" w:hAnsi="Verdana"/>
                <w:sz w:val="20"/>
                <w:szCs w:val="20"/>
                <w:lang w:val="it-CH" w:eastAsia="en-US"/>
              </w:rPr>
              <w:t>(LORETA)</w:t>
            </w:r>
            <w:r w:rsidR="00273AF0" w:rsidRPr="00AE5550">
              <w:rPr>
                <w:rFonts w:ascii="Verdana" w:hAnsi="Verdana"/>
                <w:sz w:val="20"/>
                <w:szCs w:val="20"/>
                <w:lang w:val="it-CH" w:eastAsia="en-US"/>
              </w:rPr>
              <w:t xml:space="preserve"> </w:t>
            </w:r>
            <w:r w:rsidRPr="00AE5550">
              <w:rPr>
                <w:rFonts w:ascii="Verdana" w:hAnsi="Verdana"/>
                <w:sz w:val="20"/>
                <w:szCs w:val="20"/>
                <w:lang w:val="it-CH" w:eastAsia="en-US"/>
              </w:rPr>
              <w:t>e l’assessment del dolore</w:t>
            </w:r>
            <w:r w:rsidR="00665DB2" w:rsidRPr="00AE5550">
              <w:rPr>
                <w:rFonts w:ascii="Verdana" w:hAnsi="Verdana"/>
                <w:sz w:val="20"/>
                <w:szCs w:val="20"/>
                <w:lang w:val="it-CH" w:eastAsia="en-US"/>
              </w:rPr>
              <w:t>.</w:t>
            </w:r>
          </w:p>
        </w:tc>
      </w:tr>
    </w:tbl>
    <w:p w:rsidR="00273AF0" w:rsidRPr="00AE5550" w:rsidRDefault="00273AF0" w:rsidP="007A7FB2">
      <w:pPr>
        <w:spacing w:after="160" w:line="259" w:lineRule="auto"/>
        <w:jc w:val="both"/>
        <w:rPr>
          <w:rFonts w:ascii="Verdana" w:hAnsi="Verdana" w:cs="Arial"/>
          <w:sz w:val="20"/>
          <w:szCs w:val="20"/>
          <w:lang w:val="it-CH"/>
        </w:rPr>
      </w:pPr>
    </w:p>
    <w:p w:rsidR="00C71573" w:rsidRPr="00AE5550" w:rsidRDefault="00665DB2" w:rsidP="007A7FB2">
      <w:pPr>
        <w:spacing w:after="160" w:line="259" w:lineRule="auto"/>
        <w:jc w:val="both"/>
        <w:rPr>
          <w:rFonts w:ascii="Verdana" w:hAnsi="Verdana" w:cs="Arial"/>
          <w:sz w:val="20"/>
          <w:szCs w:val="20"/>
          <w:lang w:val="it-CH"/>
        </w:rPr>
      </w:pPr>
      <w:r w:rsidRPr="00AE5550">
        <w:rPr>
          <w:rFonts w:ascii="Verdana" w:hAnsi="Verdana" w:cs="Arial"/>
          <w:sz w:val="20"/>
          <w:szCs w:val="20"/>
          <w:lang w:val="it-CH"/>
        </w:rPr>
        <w:t>Vi preghiamo gentilmente di trasmettere alla paziente / al paziente la conferma dell’assunzione dei costi.</w:t>
      </w:r>
    </w:p>
    <w:p w:rsidR="00D43F7E" w:rsidRPr="00AE5550" w:rsidRDefault="00503515" w:rsidP="007A7FB2">
      <w:pPr>
        <w:spacing w:after="160" w:line="259" w:lineRule="auto"/>
        <w:rPr>
          <w:rFonts w:ascii="Verdana" w:hAnsi="Verdana"/>
          <w:sz w:val="20"/>
          <w:szCs w:val="20"/>
          <w:lang w:val="it-CH"/>
        </w:rPr>
      </w:pPr>
      <w:r w:rsidRPr="00AE5550">
        <w:rPr>
          <w:rFonts w:ascii="Verdana" w:hAnsi="Verdana"/>
          <w:sz w:val="20"/>
          <w:szCs w:val="20"/>
          <w:lang w:val="it-CH"/>
        </w:rPr>
        <w:br/>
      </w:r>
      <w:r w:rsidR="00665DB2" w:rsidRPr="00AE5550">
        <w:rPr>
          <w:rFonts w:ascii="Verdana" w:hAnsi="Verdana"/>
          <w:sz w:val="20"/>
          <w:szCs w:val="20"/>
          <w:lang w:val="it-CH"/>
        </w:rPr>
        <w:t xml:space="preserve">Ringraziamo anticipatamente della preziosa collaborazione. </w:t>
      </w:r>
    </w:p>
    <w:p w:rsidR="00306E6D" w:rsidRPr="00AE5550" w:rsidRDefault="00503515" w:rsidP="007A7FB2">
      <w:pPr>
        <w:spacing w:after="160" w:line="259" w:lineRule="auto"/>
        <w:rPr>
          <w:rFonts w:ascii="Verdana" w:hAnsi="Verdana"/>
          <w:sz w:val="20"/>
          <w:szCs w:val="20"/>
          <w:lang w:val="it-CH"/>
        </w:rPr>
      </w:pPr>
      <w:r w:rsidRPr="00AE5550">
        <w:rPr>
          <w:rFonts w:ascii="Verdana" w:hAnsi="Verdana"/>
          <w:sz w:val="20"/>
          <w:szCs w:val="20"/>
          <w:lang w:val="it-CH"/>
        </w:rPr>
        <w:br/>
      </w:r>
      <w:r w:rsidR="00665DB2" w:rsidRPr="00AE5550">
        <w:rPr>
          <w:rFonts w:ascii="Verdana" w:hAnsi="Verdana"/>
          <w:sz w:val="20"/>
          <w:szCs w:val="20"/>
          <w:lang w:val="it-CH"/>
        </w:rPr>
        <w:t>Distinti saluti</w:t>
      </w:r>
    </w:p>
    <w:p w:rsidR="0023312E" w:rsidRPr="00AE5550" w:rsidRDefault="0023312E" w:rsidP="007A7FB2">
      <w:pPr>
        <w:spacing w:after="160" w:line="259" w:lineRule="auto"/>
        <w:rPr>
          <w:rFonts w:ascii="Verdana" w:hAnsi="Verdana"/>
          <w:sz w:val="20"/>
          <w:szCs w:val="20"/>
          <w:lang w:val="it-CH"/>
        </w:rPr>
      </w:pPr>
    </w:p>
    <w:p w:rsidR="0094631C" w:rsidRPr="00AE5550" w:rsidRDefault="0094631C" w:rsidP="007A7FB2">
      <w:pPr>
        <w:spacing w:after="120" w:line="259" w:lineRule="auto"/>
        <w:rPr>
          <w:rFonts w:ascii="Verdana" w:hAnsi="Verdana"/>
          <w:lang w:val="it-CH"/>
        </w:rPr>
      </w:pPr>
    </w:p>
    <w:p w:rsidR="0094631C" w:rsidRPr="00AE5550" w:rsidRDefault="0094631C" w:rsidP="007A7FB2">
      <w:pPr>
        <w:spacing w:after="120" w:line="259" w:lineRule="auto"/>
        <w:rPr>
          <w:rFonts w:ascii="Verdana" w:hAnsi="Verdana"/>
          <w:lang w:val="it-CH"/>
        </w:rPr>
      </w:pPr>
    </w:p>
    <w:sectPr w:rsidR="0094631C" w:rsidRPr="00AE5550" w:rsidSect="005E28C7">
      <w:headerReference w:type="default" r:id="rId8"/>
      <w:footerReference w:type="default" r:id="rId9"/>
      <w:headerReference w:type="first" r:id="rId10"/>
      <w:footerReference w:type="first" r:id="rId11"/>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5F" w:rsidRDefault="00782F5F">
      <w:r>
        <w:separator/>
      </w:r>
    </w:p>
  </w:endnote>
  <w:endnote w:type="continuationSeparator" w:id="0">
    <w:p w:rsidR="00782F5F" w:rsidRDefault="0078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LAVIKA">
    <w:altName w:val="KLAVIK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5F" w:rsidRPr="00850996" w:rsidRDefault="00440E10" w:rsidP="00850996">
    <w:pPr>
      <w:pStyle w:val="Fuzeile"/>
      <w:pBdr>
        <w:top w:val="single" w:sz="2" w:space="1" w:color="auto"/>
      </w:pBdr>
      <w:tabs>
        <w:tab w:val="clear" w:pos="9072"/>
        <w:tab w:val="right" w:pos="9921"/>
      </w:tabs>
      <w:rPr>
        <w:rFonts w:ascii="Verdana" w:hAnsi="Verdana" w:cs="Arial"/>
        <w:sz w:val="16"/>
        <w:szCs w:val="16"/>
      </w:rPr>
    </w:pPr>
    <w:r>
      <w:rPr>
        <w:rFonts w:ascii="Verdana" w:hAnsi="Verdana" w:cs="Arial"/>
        <w:sz w:val="16"/>
        <w:szCs w:val="16"/>
      </w:rPr>
      <w:t xml:space="preserve">MTK-Beschluss MRgFUS </w:t>
    </w:r>
    <w:r w:rsidRPr="00440E10">
      <w:rPr>
        <w:rFonts w:ascii="Verdana" w:hAnsi="Verdana" w:cs="Arial"/>
        <w:sz w:val="16"/>
        <w:szCs w:val="16"/>
      </w:rPr>
      <w:t>2016.133.743.01</w:t>
    </w:r>
    <w:r>
      <w:rPr>
        <w:rFonts w:ascii="Verdana" w:hAnsi="Verdana" w:cs="Arial"/>
        <w:sz w:val="16"/>
        <w:szCs w:val="16"/>
      </w:rPr>
      <w:t xml:space="preserve"> - Anhang 1</w:t>
    </w:r>
    <w:r>
      <w:rPr>
        <w:rFonts w:ascii="Verdana" w:hAnsi="Verdana" w:cs="Arial"/>
        <w:sz w:val="16"/>
        <w:szCs w:val="16"/>
      </w:rPr>
      <w:tab/>
    </w:r>
    <w:r>
      <w:rPr>
        <w:rFonts w:ascii="Verdana" w:hAnsi="Verdana" w:cs="Arial"/>
        <w:sz w:val="16"/>
        <w:szCs w:val="16"/>
      </w:rPr>
      <w:tab/>
    </w:r>
    <w:r w:rsidR="00782F5F" w:rsidRPr="00850996">
      <w:rPr>
        <w:rFonts w:ascii="Verdana" w:hAnsi="Verdana" w:cs="Arial"/>
        <w:sz w:val="16"/>
        <w:szCs w:val="16"/>
        <w:lang w:val="de-DE"/>
      </w:rPr>
      <w:t xml:space="preserve">Seite </w:t>
    </w:r>
    <w:r w:rsidR="00C44744" w:rsidRPr="00850996">
      <w:rPr>
        <w:rFonts w:ascii="Verdana" w:hAnsi="Verdana" w:cs="Arial"/>
        <w:sz w:val="16"/>
        <w:szCs w:val="16"/>
        <w:lang w:val="de-DE"/>
      </w:rPr>
      <w:fldChar w:fldCharType="begin"/>
    </w:r>
    <w:r w:rsidR="00782F5F" w:rsidRPr="00850996">
      <w:rPr>
        <w:rFonts w:ascii="Verdana" w:hAnsi="Verdana" w:cs="Arial"/>
        <w:sz w:val="16"/>
        <w:szCs w:val="16"/>
        <w:lang w:val="de-DE"/>
      </w:rPr>
      <w:instrText xml:space="preserve"> PAGE </w:instrText>
    </w:r>
    <w:r w:rsidR="00C44744" w:rsidRPr="00850996">
      <w:rPr>
        <w:rFonts w:ascii="Verdana" w:hAnsi="Verdana" w:cs="Arial"/>
        <w:sz w:val="16"/>
        <w:szCs w:val="16"/>
        <w:lang w:val="de-DE"/>
      </w:rPr>
      <w:fldChar w:fldCharType="separate"/>
    </w:r>
    <w:r w:rsidR="0044721C">
      <w:rPr>
        <w:rFonts w:ascii="Verdana" w:hAnsi="Verdana" w:cs="Arial"/>
        <w:noProof/>
        <w:sz w:val="16"/>
        <w:szCs w:val="16"/>
        <w:lang w:val="de-DE"/>
      </w:rPr>
      <w:t>2</w:t>
    </w:r>
    <w:r w:rsidR="00C44744" w:rsidRPr="00850996">
      <w:rPr>
        <w:rFonts w:ascii="Verdana" w:hAnsi="Verdana" w:cs="Arial"/>
        <w:sz w:val="16"/>
        <w:szCs w:val="16"/>
        <w:lang w:val="de-DE"/>
      </w:rPr>
      <w:fldChar w:fldCharType="end"/>
    </w:r>
    <w:r w:rsidR="00782F5F" w:rsidRPr="00850996">
      <w:rPr>
        <w:rFonts w:ascii="Verdana" w:hAnsi="Verdana" w:cs="Arial"/>
        <w:sz w:val="16"/>
        <w:szCs w:val="16"/>
        <w:lang w:val="de-DE"/>
      </w:rPr>
      <w:t xml:space="preserve"> von </w:t>
    </w:r>
    <w:r w:rsidR="00C44744" w:rsidRPr="00850996">
      <w:rPr>
        <w:rFonts w:ascii="Verdana" w:hAnsi="Verdana" w:cs="Arial"/>
        <w:sz w:val="16"/>
        <w:szCs w:val="16"/>
        <w:lang w:val="de-DE"/>
      </w:rPr>
      <w:fldChar w:fldCharType="begin"/>
    </w:r>
    <w:r w:rsidR="00782F5F" w:rsidRPr="00850996">
      <w:rPr>
        <w:rFonts w:ascii="Verdana" w:hAnsi="Verdana" w:cs="Arial"/>
        <w:sz w:val="16"/>
        <w:szCs w:val="16"/>
        <w:lang w:val="de-DE"/>
      </w:rPr>
      <w:instrText xml:space="preserve"> NUMPAGES </w:instrText>
    </w:r>
    <w:r w:rsidR="00C44744" w:rsidRPr="00850996">
      <w:rPr>
        <w:rFonts w:ascii="Verdana" w:hAnsi="Verdana" w:cs="Arial"/>
        <w:sz w:val="16"/>
        <w:szCs w:val="16"/>
        <w:lang w:val="de-DE"/>
      </w:rPr>
      <w:fldChar w:fldCharType="separate"/>
    </w:r>
    <w:r w:rsidR="0044721C">
      <w:rPr>
        <w:rFonts w:ascii="Verdana" w:hAnsi="Verdana" w:cs="Arial"/>
        <w:noProof/>
        <w:sz w:val="16"/>
        <w:szCs w:val="16"/>
        <w:lang w:val="de-DE"/>
      </w:rPr>
      <w:t>2</w:t>
    </w:r>
    <w:r w:rsidR="00C44744" w:rsidRPr="00850996">
      <w:rPr>
        <w:rFonts w:ascii="Verdana" w:hAnsi="Verdana" w:cs="Arial"/>
        <w:sz w:val="16"/>
        <w:szCs w:val="16"/>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96" w:rsidRPr="0083707F" w:rsidRDefault="00850996" w:rsidP="00850996">
    <w:pPr>
      <w:pStyle w:val="Fuzeile"/>
      <w:tabs>
        <w:tab w:val="clear" w:pos="9072"/>
        <w:tab w:val="right" w:pos="9921"/>
      </w:tabs>
      <w:rPr>
        <w:rFonts w:ascii="Verdana" w:hAnsi="Verdana"/>
        <w:sz w:val="16"/>
        <w:lang w:val="it-CH"/>
      </w:rPr>
    </w:pPr>
    <w:r w:rsidRPr="00850996">
      <w:rPr>
        <w:rFonts w:ascii="Verdana" w:hAnsi="Verdana"/>
        <w:sz w:val="16"/>
      </w:rPr>
      <w:fldChar w:fldCharType="begin"/>
    </w:r>
    <w:r w:rsidRPr="0083707F">
      <w:rPr>
        <w:rFonts w:ascii="Verdana" w:hAnsi="Verdana"/>
        <w:sz w:val="16"/>
        <w:lang w:val="it-CH"/>
      </w:rPr>
      <w:instrText xml:space="preserve"> FILENAME   \* MERGEFORMAT </w:instrText>
    </w:r>
    <w:r w:rsidRPr="00850996">
      <w:rPr>
        <w:rFonts w:ascii="Verdana" w:hAnsi="Verdana"/>
        <w:sz w:val="16"/>
      </w:rPr>
      <w:fldChar w:fldCharType="separate"/>
    </w:r>
    <w:r w:rsidR="0083707F" w:rsidRPr="0083707F">
      <w:rPr>
        <w:rFonts w:ascii="Verdana" w:hAnsi="Verdana"/>
        <w:noProof/>
        <w:sz w:val="16"/>
        <w:lang w:val="it-CH"/>
      </w:rPr>
      <w:t>CTM_Decisione_MRgFUS_2016.133.743.01_allegato 1_domanda di benestare_LAINF.docx</w:t>
    </w:r>
    <w:r w:rsidRPr="00850996">
      <w:rPr>
        <w:rFonts w:ascii="Verdana" w:hAnsi="Verdana"/>
        <w:sz w:val="16"/>
      </w:rPr>
      <w:fldChar w:fldCharType="end"/>
    </w:r>
    <w:r w:rsidRPr="0083707F">
      <w:rPr>
        <w:rFonts w:ascii="Verdana" w:hAnsi="Verdana"/>
        <w:sz w:val="16"/>
        <w:lang w:val="it-CH"/>
      </w:rPr>
      <w:tab/>
    </w:r>
    <w:r w:rsidR="00D21DC9" w:rsidRPr="0083707F">
      <w:rPr>
        <w:rFonts w:ascii="Verdana" w:hAnsi="Verdana"/>
        <w:sz w:val="16"/>
        <w:lang w:val="it-CH"/>
      </w:rPr>
      <w:t>Pagina</w:t>
    </w:r>
    <w:r w:rsidRPr="0083707F">
      <w:rPr>
        <w:rFonts w:ascii="Verdana" w:hAnsi="Verdana"/>
        <w:sz w:val="16"/>
        <w:lang w:val="it-CH"/>
      </w:rPr>
      <w:t xml:space="preserve"> </w:t>
    </w:r>
    <w:r>
      <w:rPr>
        <w:rFonts w:ascii="Verdana" w:hAnsi="Verdana"/>
        <w:sz w:val="16"/>
      </w:rPr>
      <w:fldChar w:fldCharType="begin"/>
    </w:r>
    <w:r w:rsidRPr="0083707F">
      <w:rPr>
        <w:rFonts w:ascii="Verdana" w:hAnsi="Verdana"/>
        <w:sz w:val="16"/>
        <w:lang w:val="it-CH"/>
      </w:rPr>
      <w:instrText xml:space="preserve"> PAGE   \* MERGEFORMAT </w:instrText>
    </w:r>
    <w:r>
      <w:rPr>
        <w:rFonts w:ascii="Verdana" w:hAnsi="Verdana"/>
        <w:sz w:val="16"/>
      </w:rPr>
      <w:fldChar w:fldCharType="separate"/>
    </w:r>
    <w:r w:rsidR="0044721C">
      <w:rPr>
        <w:rFonts w:ascii="Verdana" w:hAnsi="Verdana"/>
        <w:noProof/>
        <w:sz w:val="16"/>
        <w:lang w:val="it-CH"/>
      </w:rPr>
      <w:t>1</w:t>
    </w:r>
    <w:r>
      <w:rPr>
        <w:rFonts w:ascii="Verdana" w:hAnsi="Verdana"/>
        <w:sz w:val="16"/>
      </w:rPr>
      <w:fldChar w:fldCharType="end"/>
    </w:r>
    <w:r w:rsidRPr="0083707F">
      <w:rPr>
        <w:rFonts w:ascii="Verdana" w:hAnsi="Verdana"/>
        <w:sz w:val="16"/>
        <w:lang w:val="it-CH"/>
      </w:rPr>
      <w:t xml:space="preserve"> </w:t>
    </w:r>
    <w:r w:rsidR="00D21DC9" w:rsidRPr="0083707F">
      <w:rPr>
        <w:rFonts w:ascii="Verdana" w:hAnsi="Verdana"/>
        <w:sz w:val="16"/>
        <w:lang w:val="it-CH"/>
      </w:rPr>
      <w:t>di</w:t>
    </w:r>
    <w:r w:rsidRPr="0083707F">
      <w:rPr>
        <w:rFonts w:ascii="Verdana" w:hAnsi="Verdana"/>
        <w:sz w:val="16"/>
        <w:lang w:val="it-CH"/>
      </w:rPr>
      <w:t xml:space="preserve"> </w:t>
    </w:r>
    <w:r>
      <w:rPr>
        <w:rFonts w:ascii="Verdana" w:hAnsi="Verdana"/>
        <w:sz w:val="16"/>
      </w:rPr>
      <w:fldChar w:fldCharType="begin"/>
    </w:r>
    <w:r w:rsidRPr="0083707F">
      <w:rPr>
        <w:rFonts w:ascii="Verdana" w:hAnsi="Verdana"/>
        <w:sz w:val="16"/>
        <w:lang w:val="it-CH"/>
      </w:rPr>
      <w:instrText xml:space="preserve"> NUMPAGES   \* MERGEFORMAT </w:instrText>
    </w:r>
    <w:r>
      <w:rPr>
        <w:rFonts w:ascii="Verdana" w:hAnsi="Verdana"/>
        <w:sz w:val="16"/>
      </w:rPr>
      <w:fldChar w:fldCharType="separate"/>
    </w:r>
    <w:r w:rsidR="0044721C">
      <w:rPr>
        <w:rFonts w:ascii="Verdana" w:hAnsi="Verdana"/>
        <w:noProof/>
        <w:sz w:val="16"/>
        <w:lang w:val="it-CH"/>
      </w:rPr>
      <w:t>2</w:t>
    </w:r>
    <w:r>
      <w:rPr>
        <w:rFonts w:ascii="Verdana" w:hAnsi="Verdana"/>
        <w:sz w:val="16"/>
      </w:rPr>
      <w:fldChar w:fldCharType="end"/>
    </w:r>
    <w:r w:rsidRPr="0083707F">
      <w:rPr>
        <w:rFonts w:ascii="Verdana" w:hAnsi="Verdana"/>
        <w:sz w:val="16"/>
        <w:lang w:val="it-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5F" w:rsidRDefault="00782F5F">
      <w:r>
        <w:separator/>
      </w:r>
    </w:p>
  </w:footnote>
  <w:footnote w:type="continuationSeparator" w:id="0">
    <w:p w:rsidR="00782F5F" w:rsidRDefault="0078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5F" w:rsidRPr="00221DE6" w:rsidRDefault="00782F5F">
    <w:pPr>
      <w:pStyle w:val="Kopfzeile"/>
      <w:rPr>
        <w:rFonts w:ascii="Verdana" w:hAnsi="Verdana"/>
        <w:bCs/>
        <w:sz w:val="20"/>
        <w:szCs w:val="20"/>
      </w:rPr>
    </w:pPr>
  </w:p>
  <w:p w:rsidR="00782F5F" w:rsidRPr="00221DE6" w:rsidRDefault="00782F5F">
    <w:pPr>
      <w:pStyle w:val="Kopfzeile"/>
      <w:rPr>
        <w:rFonts w:ascii="Verdana" w:hAnsi="Verdana"/>
        <w:bCs/>
        <w:sz w:val="20"/>
        <w:szCs w:val="20"/>
      </w:rPr>
    </w:pPr>
  </w:p>
  <w:p w:rsidR="00782F5F" w:rsidRPr="00221DE6" w:rsidRDefault="00782F5F">
    <w:pPr>
      <w:pStyle w:val="Kopfzeile"/>
      <w:rPr>
        <w:rFonts w:ascii="Verdana" w:hAnsi="Verdana"/>
        <w:bCs/>
        <w:sz w:val="20"/>
        <w:szCs w:val="20"/>
      </w:rPr>
    </w:pPr>
  </w:p>
  <w:p w:rsidR="00782F5F" w:rsidRPr="00221DE6" w:rsidRDefault="00782F5F">
    <w:pPr>
      <w:pStyle w:val="Kopfzeile"/>
      <w:rPr>
        <w:rFonts w:ascii="Verdana" w:hAnsi="Verdana"/>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5F" w:rsidRDefault="00782F5F">
    <w:pPr>
      <w:pStyle w:val="Kopfzeile"/>
    </w:pPr>
  </w:p>
  <w:p w:rsidR="00782F5F" w:rsidRDefault="00782F5F">
    <w:pPr>
      <w:pStyle w:val="Kopfzeile"/>
    </w:pPr>
  </w:p>
  <w:p w:rsidR="00782F5F" w:rsidRDefault="00782F5F">
    <w:pPr>
      <w:pStyle w:val="Kopfzeile"/>
    </w:pPr>
  </w:p>
  <w:p w:rsidR="00782F5F" w:rsidRDefault="00782F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EE0"/>
    <w:multiLevelType w:val="hybridMultilevel"/>
    <w:tmpl w:val="16446E84"/>
    <w:lvl w:ilvl="0" w:tplc="C3B0E2EC">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1E16667A"/>
    <w:multiLevelType w:val="hybridMultilevel"/>
    <w:tmpl w:val="35F08DCC"/>
    <w:lvl w:ilvl="0" w:tplc="0807000F">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 w15:restartNumberingAfterBreak="0">
    <w:nsid w:val="261E757A"/>
    <w:multiLevelType w:val="hybridMultilevel"/>
    <w:tmpl w:val="3CDAFA52"/>
    <w:lvl w:ilvl="0" w:tplc="0807000F">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555442"/>
    <w:multiLevelType w:val="hybridMultilevel"/>
    <w:tmpl w:val="B812040E"/>
    <w:lvl w:ilvl="0" w:tplc="2286C17E">
      <w:numFmt w:val="bullet"/>
      <w:lvlText w:val="-"/>
      <w:lvlJc w:val="left"/>
      <w:pPr>
        <w:ind w:left="720" w:hanging="360"/>
      </w:pPr>
      <w:rPr>
        <w:rFonts w:ascii="Calisto MT" w:eastAsia="Times New Roman" w:hAnsi="Calisto M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D90940"/>
    <w:multiLevelType w:val="hybridMultilevel"/>
    <w:tmpl w:val="65804C9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634F99"/>
    <w:multiLevelType w:val="hybridMultilevel"/>
    <w:tmpl w:val="F11A16D0"/>
    <w:lvl w:ilvl="0" w:tplc="C3B0E2EC">
      <w:start w:val="1"/>
      <w:numFmt w:val="lowerLetter"/>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04A194D"/>
    <w:multiLevelType w:val="hybridMultilevel"/>
    <w:tmpl w:val="CA9EA2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D490643"/>
    <w:multiLevelType w:val="hybridMultilevel"/>
    <w:tmpl w:val="DFAC4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E4F7565"/>
    <w:multiLevelType w:val="hybridMultilevel"/>
    <w:tmpl w:val="D6D2D9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2"/>
  </w:compat>
  <w:rsids>
    <w:rsidRoot w:val="00344D57"/>
    <w:rsid w:val="00032704"/>
    <w:rsid w:val="00035A24"/>
    <w:rsid w:val="00035FF8"/>
    <w:rsid w:val="000369DB"/>
    <w:rsid w:val="00037094"/>
    <w:rsid w:val="00046B19"/>
    <w:rsid w:val="0005166B"/>
    <w:rsid w:val="00072CBA"/>
    <w:rsid w:val="0008438E"/>
    <w:rsid w:val="00085F72"/>
    <w:rsid w:val="00090377"/>
    <w:rsid w:val="000A125C"/>
    <w:rsid w:val="000A2408"/>
    <w:rsid w:val="000B185E"/>
    <w:rsid w:val="000B52C9"/>
    <w:rsid w:val="000E34CF"/>
    <w:rsid w:val="000E7995"/>
    <w:rsid w:val="000F7B13"/>
    <w:rsid w:val="001047B8"/>
    <w:rsid w:val="00113FCB"/>
    <w:rsid w:val="001158D9"/>
    <w:rsid w:val="00117575"/>
    <w:rsid w:val="001410DB"/>
    <w:rsid w:val="001538FE"/>
    <w:rsid w:val="00154E6D"/>
    <w:rsid w:val="00154F92"/>
    <w:rsid w:val="00163575"/>
    <w:rsid w:val="00172003"/>
    <w:rsid w:val="0017319A"/>
    <w:rsid w:val="001848C7"/>
    <w:rsid w:val="00191248"/>
    <w:rsid w:val="00194D68"/>
    <w:rsid w:val="001960D8"/>
    <w:rsid w:val="001C2FDF"/>
    <w:rsid w:val="001C7843"/>
    <w:rsid w:val="001D3DEB"/>
    <w:rsid w:val="001D49AF"/>
    <w:rsid w:val="001F44FC"/>
    <w:rsid w:val="001F59D5"/>
    <w:rsid w:val="001F684C"/>
    <w:rsid w:val="00206BC7"/>
    <w:rsid w:val="00210104"/>
    <w:rsid w:val="00221DE6"/>
    <w:rsid w:val="0022359B"/>
    <w:rsid w:val="00231575"/>
    <w:rsid w:val="0023312E"/>
    <w:rsid w:val="00234048"/>
    <w:rsid w:val="00253F55"/>
    <w:rsid w:val="002607CF"/>
    <w:rsid w:val="00261943"/>
    <w:rsid w:val="00261F2A"/>
    <w:rsid w:val="00273AF0"/>
    <w:rsid w:val="002840E4"/>
    <w:rsid w:val="002851A1"/>
    <w:rsid w:val="002865C2"/>
    <w:rsid w:val="00292256"/>
    <w:rsid w:val="002C63A3"/>
    <w:rsid w:val="002D0A33"/>
    <w:rsid w:val="002D74F1"/>
    <w:rsid w:val="002F010D"/>
    <w:rsid w:val="002F1231"/>
    <w:rsid w:val="002F4807"/>
    <w:rsid w:val="00306E6D"/>
    <w:rsid w:val="00310757"/>
    <w:rsid w:val="00311485"/>
    <w:rsid w:val="003122A8"/>
    <w:rsid w:val="00316A99"/>
    <w:rsid w:val="00317B01"/>
    <w:rsid w:val="0034443A"/>
    <w:rsid w:val="00344D57"/>
    <w:rsid w:val="00347A05"/>
    <w:rsid w:val="00350B66"/>
    <w:rsid w:val="00356C33"/>
    <w:rsid w:val="00363C53"/>
    <w:rsid w:val="003832E1"/>
    <w:rsid w:val="003843B5"/>
    <w:rsid w:val="00385949"/>
    <w:rsid w:val="0039335A"/>
    <w:rsid w:val="003B0331"/>
    <w:rsid w:val="003B5725"/>
    <w:rsid w:val="003C1D6A"/>
    <w:rsid w:val="003C6974"/>
    <w:rsid w:val="003E5E45"/>
    <w:rsid w:val="003E724E"/>
    <w:rsid w:val="003F6098"/>
    <w:rsid w:val="00402F85"/>
    <w:rsid w:val="004048AC"/>
    <w:rsid w:val="00413C6F"/>
    <w:rsid w:val="00413D67"/>
    <w:rsid w:val="00414ED1"/>
    <w:rsid w:val="00435A14"/>
    <w:rsid w:val="004371D3"/>
    <w:rsid w:val="00440E10"/>
    <w:rsid w:val="0044721C"/>
    <w:rsid w:val="004474C8"/>
    <w:rsid w:val="004608DF"/>
    <w:rsid w:val="004664D0"/>
    <w:rsid w:val="00472C5A"/>
    <w:rsid w:val="00474BB2"/>
    <w:rsid w:val="00481528"/>
    <w:rsid w:val="00481E45"/>
    <w:rsid w:val="00484BE5"/>
    <w:rsid w:val="00497742"/>
    <w:rsid w:val="004A2596"/>
    <w:rsid w:val="004A40BD"/>
    <w:rsid w:val="004A486C"/>
    <w:rsid w:val="004A5431"/>
    <w:rsid w:val="004C0067"/>
    <w:rsid w:val="004C1C84"/>
    <w:rsid w:val="004D0326"/>
    <w:rsid w:val="004D1B37"/>
    <w:rsid w:val="004D475A"/>
    <w:rsid w:val="004D5043"/>
    <w:rsid w:val="004E350E"/>
    <w:rsid w:val="004E3F2A"/>
    <w:rsid w:val="004F36B3"/>
    <w:rsid w:val="00503515"/>
    <w:rsid w:val="00531F98"/>
    <w:rsid w:val="00537065"/>
    <w:rsid w:val="00544826"/>
    <w:rsid w:val="00546826"/>
    <w:rsid w:val="00561FE5"/>
    <w:rsid w:val="00574334"/>
    <w:rsid w:val="00582529"/>
    <w:rsid w:val="005920EA"/>
    <w:rsid w:val="00593DEC"/>
    <w:rsid w:val="005967B6"/>
    <w:rsid w:val="005A1597"/>
    <w:rsid w:val="005A586E"/>
    <w:rsid w:val="005C20C4"/>
    <w:rsid w:val="005C4F04"/>
    <w:rsid w:val="005C5B12"/>
    <w:rsid w:val="005D5B86"/>
    <w:rsid w:val="005E28C7"/>
    <w:rsid w:val="005E5E2B"/>
    <w:rsid w:val="00620E22"/>
    <w:rsid w:val="006241F8"/>
    <w:rsid w:val="00633CDA"/>
    <w:rsid w:val="0064795A"/>
    <w:rsid w:val="00665DB2"/>
    <w:rsid w:val="0066707F"/>
    <w:rsid w:val="0067011C"/>
    <w:rsid w:val="00670DA9"/>
    <w:rsid w:val="00680E2C"/>
    <w:rsid w:val="00685A14"/>
    <w:rsid w:val="006939BE"/>
    <w:rsid w:val="006941EC"/>
    <w:rsid w:val="00697E7C"/>
    <w:rsid w:val="006A4DE8"/>
    <w:rsid w:val="006A7759"/>
    <w:rsid w:val="006B58DA"/>
    <w:rsid w:val="006C52B9"/>
    <w:rsid w:val="00715AA2"/>
    <w:rsid w:val="007170B6"/>
    <w:rsid w:val="007364B1"/>
    <w:rsid w:val="0075761C"/>
    <w:rsid w:val="00761B59"/>
    <w:rsid w:val="0076635D"/>
    <w:rsid w:val="00767231"/>
    <w:rsid w:val="0076758E"/>
    <w:rsid w:val="007768AB"/>
    <w:rsid w:val="00782F5F"/>
    <w:rsid w:val="00783767"/>
    <w:rsid w:val="007A6DE6"/>
    <w:rsid w:val="007A70D9"/>
    <w:rsid w:val="007A7FB2"/>
    <w:rsid w:val="007C0A9E"/>
    <w:rsid w:val="007C607C"/>
    <w:rsid w:val="007F066D"/>
    <w:rsid w:val="00801C13"/>
    <w:rsid w:val="00802890"/>
    <w:rsid w:val="00806213"/>
    <w:rsid w:val="0082150B"/>
    <w:rsid w:val="00825919"/>
    <w:rsid w:val="00830797"/>
    <w:rsid w:val="00836DC8"/>
    <w:rsid w:val="0083707F"/>
    <w:rsid w:val="00845DEA"/>
    <w:rsid w:val="00850996"/>
    <w:rsid w:val="00862636"/>
    <w:rsid w:val="00867BB9"/>
    <w:rsid w:val="0088713B"/>
    <w:rsid w:val="0088717C"/>
    <w:rsid w:val="00891B66"/>
    <w:rsid w:val="008A3F43"/>
    <w:rsid w:val="008E0300"/>
    <w:rsid w:val="008F4D6E"/>
    <w:rsid w:val="008F6427"/>
    <w:rsid w:val="009059DB"/>
    <w:rsid w:val="00906666"/>
    <w:rsid w:val="00913DF0"/>
    <w:rsid w:val="00923D5F"/>
    <w:rsid w:val="00924817"/>
    <w:rsid w:val="00927EA5"/>
    <w:rsid w:val="00935CC9"/>
    <w:rsid w:val="0094631C"/>
    <w:rsid w:val="00967A63"/>
    <w:rsid w:val="00981F27"/>
    <w:rsid w:val="009D4627"/>
    <w:rsid w:val="009D5190"/>
    <w:rsid w:val="009E1867"/>
    <w:rsid w:val="009E51F4"/>
    <w:rsid w:val="009E5D53"/>
    <w:rsid w:val="009F54FD"/>
    <w:rsid w:val="00A11ED8"/>
    <w:rsid w:val="00A159C0"/>
    <w:rsid w:val="00A36CE2"/>
    <w:rsid w:val="00A40DAB"/>
    <w:rsid w:val="00A57B1C"/>
    <w:rsid w:val="00A64F48"/>
    <w:rsid w:val="00A81FCC"/>
    <w:rsid w:val="00A94A64"/>
    <w:rsid w:val="00AA07B3"/>
    <w:rsid w:val="00AA0D48"/>
    <w:rsid w:val="00AA1243"/>
    <w:rsid w:val="00AB1153"/>
    <w:rsid w:val="00AC036D"/>
    <w:rsid w:val="00AD4A3E"/>
    <w:rsid w:val="00AE5550"/>
    <w:rsid w:val="00AF0428"/>
    <w:rsid w:val="00B25241"/>
    <w:rsid w:val="00B256CF"/>
    <w:rsid w:val="00B2743E"/>
    <w:rsid w:val="00B275FD"/>
    <w:rsid w:val="00B3034F"/>
    <w:rsid w:val="00B30E7B"/>
    <w:rsid w:val="00B323D2"/>
    <w:rsid w:val="00B33594"/>
    <w:rsid w:val="00B425CC"/>
    <w:rsid w:val="00B44C81"/>
    <w:rsid w:val="00B4658C"/>
    <w:rsid w:val="00B501A5"/>
    <w:rsid w:val="00B52DA0"/>
    <w:rsid w:val="00B77B09"/>
    <w:rsid w:val="00B81480"/>
    <w:rsid w:val="00B82ECC"/>
    <w:rsid w:val="00B85C0D"/>
    <w:rsid w:val="00B917B1"/>
    <w:rsid w:val="00BD3188"/>
    <w:rsid w:val="00BD65F7"/>
    <w:rsid w:val="00BE27E2"/>
    <w:rsid w:val="00BF1A13"/>
    <w:rsid w:val="00C0161A"/>
    <w:rsid w:val="00C03E04"/>
    <w:rsid w:val="00C0696E"/>
    <w:rsid w:val="00C13B98"/>
    <w:rsid w:val="00C14A40"/>
    <w:rsid w:val="00C44744"/>
    <w:rsid w:val="00C51239"/>
    <w:rsid w:val="00C54E57"/>
    <w:rsid w:val="00C64BE8"/>
    <w:rsid w:val="00C71573"/>
    <w:rsid w:val="00C716BB"/>
    <w:rsid w:val="00C95CDB"/>
    <w:rsid w:val="00CA1DE6"/>
    <w:rsid w:val="00CB1826"/>
    <w:rsid w:val="00CC27D1"/>
    <w:rsid w:val="00CC2F84"/>
    <w:rsid w:val="00CC531C"/>
    <w:rsid w:val="00CC65E1"/>
    <w:rsid w:val="00CF4099"/>
    <w:rsid w:val="00D12B2D"/>
    <w:rsid w:val="00D21DC9"/>
    <w:rsid w:val="00D23B40"/>
    <w:rsid w:val="00D32BBE"/>
    <w:rsid w:val="00D43F7E"/>
    <w:rsid w:val="00D473DE"/>
    <w:rsid w:val="00D66957"/>
    <w:rsid w:val="00D81498"/>
    <w:rsid w:val="00D9302B"/>
    <w:rsid w:val="00D95661"/>
    <w:rsid w:val="00DB51C9"/>
    <w:rsid w:val="00DD200E"/>
    <w:rsid w:val="00DD7998"/>
    <w:rsid w:val="00DE047B"/>
    <w:rsid w:val="00DE6A73"/>
    <w:rsid w:val="00DF14AE"/>
    <w:rsid w:val="00E06BA0"/>
    <w:rsid w:val="00E13D90"/>
    <w:rsid w:val="00E13FE2"/>
    <w:rsid w:val="00E15F01"/>
    <w:rsid w:val="00E212EC"/>
    <w:rsid w:val="00E3730A"/>
    <w:rsid w:val="00E40592"/>
    <w:rsid w:val="00E53C19"/>
    <w:rsid w:val="00E603AC"/>
    <w:rsid w:val="00E7245B"/>
    <w:rsid w:val="00E807C4"/>
    <w:rsid w:val="00E92FC8"/>
    <w:rsid w:val="00EB2ED3"/>
    <w:rsid w:val="00EB41E3"/>
    <w:rsid w:val="00EB5D6F"/>
    <w:rsid w:val="00ED3708"/>
    <w:rsid w:val="00EE179B"/>
    <w:rsid w:val="00EE3CEF"/>
    <w:rsid w:val="00EE5788"/>
    <w:rsid w:val="00EE591C"/>
    <w:rsid w:val="00F02851"/>
    <w:rsid w:val="00F0368F"/>
    <w:rsid w:val="00F15A6B"/>
    <w:rsid w:val="00F17F90"/>
    <w:rsid w:val="00F26D1F"/>
    <w:rsid w:val="00F27E45"/>
    <w:rsid w:val="00F46878"/>
    <w:rsid w:val="00F47C0C"/>
    <w:rsid w:val="00F47DD7"/>
    <w:rsid w:val="00F513DF"/>
    <w:rsid w:val="00F5147A"/>
    <w:rsid w:val="00F5157F"/>
    <w:rsid w:val="00F642F0"/>
    <w:rsid w:val="00F832B7"/>
    <w:rsid w:val="00F91EBA"/>
    <w:rsid w:val="00F97896"/>
    <w:rsid w:val="00FA2820"/>
    <w:rsid w:val="00FA7281"/>
    <w:rsid w:val="00FB27B9"/>
    <w:rsid w:val="00FB60B2"/>
    <w:rsid w:val="00FC27E8"/>
    <w:rsid w:val="00FD7B8E"/>
    <w:rsid w:val="00FE58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5:docId w15:val="{89BA5F28-EBAF-4314-860E-2CF4EA5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73DE"/>
    <w:rPr>
      <w:sz w:val="24"/>
      <w:szCs w:val="24"/>
      <w:lang w:eastAsia="de-DE"/>
    </w:rPr>
  </w:style>
  <w:style w:type="paragraph" w:styleId="berschrift1">
    <w:name w:val="heading 1"/>
    <w:basedOn w:val="Standard"/>
    <w:next w:val="Standard"/>
    <w:qFormat/>
    <w:rsid w:val="00D473DE"/>
    <w:pPr>
      <w:keepNext/>
      <w:outlineLvl w:val="0"/>
    </w:pPr>
    <w:rPr>
      <w:rFonts w:ascii="Trebuchet MS" w:hAnsi="Trebuchet MS"/>
      <w:b/>
      <w:bCs/>
      <w:sz w:val="22"/>
    </w:rPr>
  </w:style>
  <w:style w:type="paragraph" w:styleId="berschrift2">
    <w:name w:val="heading 2"/>
    <w:basedOn w:val="Standard"/>
    <w:next w:val="Standard"/>
    <w:link w:val="berschrift2Zchn"/>
    <w:uiPriority w:val="9"/>
    <w:semiHidden/>
    <w:unhideWhenUsed/>
    <w:qFormat/>
    <w:rsid w:val="00F978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D473DE"/>
    <w:rPr>
      <w:rFonts w:ascii="Arial" w:hAnsi="Arial" w:cs="Arial"/>
      <w:sz w:val="20"/>
      <w:lang w:val="en-GB"/>
    </w:rPr>
  </w:style>
  <w:style w:type="character" w:styleId="Hyperlink">
    <w:name w:val="Hyperlink"/>
    <w:basedOn w:val="Absatz-Standardschriftart"/>
    <w:semiHidden/>
    <w:rsid w:val="00D473DE"/>
    <w:rPr>
      <w:color w:val="0000FF"/>
      <w:u w:val="single"/>
    </w:rPr>
  </w:style>
  <w:style w:type="character" w:styleId="BesuchterHyperlink">
    <w:name w:val="FollowedHyperlink"/>
    <w:basedOn w:val="Absatz-Standardschriftart"/>
    <w:semiHidden/>
    <w:rsid w:val="00D473DE"/>
    <w:rPr>
      <w:color w:val="800080"/>
      <w:u w:val="single"/>
    </w:rPr>
  </w:style>
  <w:style w:type="paragraph" w:styleId="Kopfzeile">
    <w:name w:val="header"/>
    <w:basedOn w:val="Standard"/>
    <w:semiHidden/>
    <w:rsid w:val="00D473DE"/>
    <w:pPr>
      <w:tabs>
        <w:tab w:val="center" w:pos="4536"/>
        <w:tab w:val="right" w:pos="9072"/>
      </w:tabs>
    </w:pPr>
  </w:style>
  <w:style w:type="paragraph" w:styleId="Fuzeile">
    <w:name w:val="footer"/>
    <w:basedOn w:val="Standard"/>
    <w:semiHidden/>
    <w:rsid w:val="00D473DE"/>
    <w:pPr>
      <w:tabs>
        <w:tab w:val="center" w:pos="4536"/>
        <w:tab w:val="right" w:pos="9072"/>
      </w:tabs>
    </w:pPr>
  </w:style>
  <w:style w:type="paragraph" w:styleId="Sprechblasentext">
    <w:name w:val="Balloon Text"/>
    <w:basedOn w:val="Standard"/>
    <w:link w:val="SprechblasentextZchn"/>
    <w:uiPriority w:val="99"/>
    <w:semiHidden/>
    <w:unhideWhenUsed/>
    <w:rsid w:val="00845D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5DEA"/>
    <w:rPr>
      <w:rFonts w:ascii="Tahoma" w:hAnsi="Tahoma" w:cs="Tahoma"/>
      <w:sz w:val="16"/>
      <w:szCs w:val="16"/>
      <w:lang w:eastAsia="de-DE"/>
    </w:rPr>
  </w:style>
  <w:style w:type="paragraph" w:styleId="Listenabsatz">
    <w:name w:val="List Paragraph"/>
    <w:basedOn w:val="Standard"/>
    <w:uiPriority w:val="34"/>
    <w:qFormat/>
    <w:rsid w:val="00210104"/>
    <w:pPr>
      <w:ind w:left="720"/>
      <w:contextualSpacing/>
    </w:pPr>
  </w:style>
  <w:style w:type="character" w:customStyle="1" w:styleId="adrgroup2">
    <w:name w:val="adrgroup2"/>
    <w:basedOn w:val="Absatz-Standardschriftart"/>
    <w:rsid w:val="00806213"/>
  </w:style>
  <w:style w:type="character" w:customStyle="1" w:styleId="postal-code">
    <w:name w:val="postal-code"/>
    <w:basedOn w:val="Absatz-Standardschriftart"/>
    <w:rsid w:val="00806213"/>
  </w:style>
  <w:style w:type="character" w:customStyle="1" w:styleId="locality">
    <w:name w:val="locality"/>
    <w:basedOn w:val="Absatz-Standardschriftart"/>
    <w:rsid w:val="00806213"/>
  </w:style>
  <w:style w:type="character" w:customStyle="1" w:styleId="slkeyword1">
    <w:name w:val="sl_keyword1"/>
    <w:basedOn w:val="Absatz-Standardschriftart"/>
    <w:rsid w:val="00806213"/>
    <w:rPr>
      <w:shd w:val="clear" w:color="auto" w:fill="DDF3DA"/>
    </w:rPr>
  </w:style>
  <w:style w:type="character" w:customStyle="1" w:styleId="TextkrperZchn">
    <w:name w:val="Textkörper Zchn"/>
    <w:basedOn w:val="Absatz-Standardschriftart"/>
    <w:link w:val="Textkrper"/>
    <w:semiHidden/>
    <w:rsid w:val="00F46878"/>
    <w:rPr>
      <w:rFonts w:ascii="Arial" w:hAnsi="Arial" w:cs="Arial"/>
      <w:szCs w:val="24"/>
      <w:lang w:val="en-GB" w:eastAsia="de-DE"/>
    </w:rPr>
  </w:style>
  <w:style w:type="character" w:customStyle="1" w:styleId="berschrift2Zchn">
    <w:name w:val="Überschrift 2 Zchn"/>
    <w:basedOn w:val="Absatz-Standardschriftart"/>
    <w:link w:val="berschrift2"/>
    <w:uiPriority w:val="9"/>
    <w:semiHidden/>
    <w:rsid w:val="00F97896"/>
    <w:rPr>
      <w:rFonts w:asciiTheme="majorHAnsi" w:eastAsiaTheme="majorEastAsia" w:hAnsiTheme="majorHAnsi" w:cstheme="majorBidi"/>
      <w:b/>
      <w:bCs/>
      <w:color w:val="4F81BD" w:themeColor="accent1"/>
      <w:sz w:val="26"/>
      <w:szCs w:val="26"/>
      <w:lang w:eastAsia="de-DE"/>
    </w:rPr>
  </w:style>
  <w:style w:type="paragraph" w:styleId="berarbeitung">
    <w:name w:val="Revision"/>
    <w:hidden/>
    <w:uiPriority w:val="99"/>
    <w:semiHidden/>
    <w:rsid w:val="000E34CF"/>
    <w:rPr>
      <w:sz w:val="24"/>
      <w:szCs w:val="24"/>
      <w:lang w:eastAsia="de-DE"/>
    </w:rPr>
  </w:style>
  <w:style w:type="table" w:styleId="Tabellenraster">
    <w:name w:val="Table Grid"/>
    <w:basedOn w:val="NormaleTabelle"/>
    <w:uiPriority w:val="59"/>
    <w:rsid w:val="007A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33CDA"/>
    <w:rPr>
      <w:color w:val="808080"/>
    </w:rPr>
  </w:style>
  <w:style w:type="paragraph" w:customStyle="1" w:styleId="Default">
    <w:name w:val="Default"/>
    <w:rsid w:val="0017319A"/>
    <w:pPr>
      <w:autoSpaceDE w:val="0"/>
      <w:autoSpaceDN w:val="0"/>
      <w:adjustRightInd w:val="0"/>
    </w:pPr>
    <w:rPr>
      <w:rFonts w:ascii="KLAVIKA" w:hAnsi="KLAVIKA" w:cs="KLAVIKA"/>
      <w:color w:val="000000"/>
      <w:sz w:val="24"/>
      <w:szCs w:val="24"/>
    </w:rPr>
  </w:style>
  <w:style w:type="paragraph" w:customStyle="1" w:styleId="Pa0">
    <w:name w:val="Pa0"/>
    <w:basedOn w:val="Default"/>
    <w:next w:val="Default"/>
    <w:uiPriority w:val="99"/>
    <w:rsid w:val="0017319A"/>
    <w:pPr>
      <w:spacing w:line="241" w:lineRule="atLeast"/>
    </w:pPr>
    <w:rPr>
      <w:rFonts w:cs="Times New Roman"/>
      <w:color w:val="auto"/>
    </w:rPr>
  </w:style>
  <w:style w:type="character" w:customStyle="1" w:styleId="A0">
    <w:name w:val="A0"/>
    <w:uiPriority w:val="99"/>
    <w:rsid w:val="0017319A"/>
    <w:rPr>
      <w:rFonts w:cs="KLAVIKA"/>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3213">
      <w:bodyDiv w:val="1"/>
      <w:marLeft w:val="0"/>
      <w:marRight w:val="0"/>
      <w:marTop w:val="0"/>
      <w:marBottom w:val="0"/>
      <w:divBdr>
        <w:top w:val="none" w:sz="0" w:space="0" w:color="auto"/>
        <w:left w:val="none" w:sz="0" w:space="0" w:color="auto"/>
        <w:bottom w:val="none" w:sz="0" w:space="0" w:color="auto"/>
        <w:right w:val="none" w:sz="0" w:space="0" w:color="auto"/>
      </w:divBdr>
    </w:div>
    <w:div w:id="12356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8CB0-385A-40F2-BA52-65F6308A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36CF7307</Template>
  <TotalTime>0</TotalTime>
  <Pages>2</Pages>
  <Words>676</Words>
  <Characters>4263</Characters>
  <Application>Microsoft Office Word</Application>
  <DocSecurity>4</DocSecurity>
  <Lines>35</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Hayoz Philippe (HYO)</dc:creator>
  <cp:lastModifiedBy>Odermatt-Ettlin Rita (ORI)</cp:lastModifiedBy>
  <cp:revision>2</cp:revision>
  <cp:lastPrinted>2016-11-25T09:52:00Z</cp:lastPrinted>
  <dcterms:created xsi:type="dcterms:W3CDTF">2016-12-19T11:18:00Z</dcterms:created>
  <dcterms:modified xsi:type="dcterms:W3CDTF">2016-12-19T11:18:00Z</dcterms:modified>
</cp:coreProperties>
</file>